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A7" w:rsidRPr="00FE1F1A" w:rsidRDefault="00FE1F1A">
      <w:pPr>
        <w:pStyle w:val="2"/>
        <w:spacing w:before="72"/>
        <w:ind w:left="3235"/>
        <w:rPr>
          <w:lang w:val="ru-RU"/>
        </w:rPr>
      </w:pPr>
      <w:bookmarkStart w:id="0" w:name="_GoBack"/>
      <w:bookmarkEnd w:id="0"/>
      <w:r w:rsidRPr="00FE1F1A">
        <w:rPr>
          <w:lang w:val="ru-RU"/>
        </w:rPr>
        <w:t>СОЮЗ ПЕДИАТРОВ РОССИИ</w:t>
      </w:r>
    </w:p>
    <w:p w:rsidR="00F517A7" w:rsidRPr="00FE1F1A" w:rsidRDefault="00F517A7">
      <w:pPr>
        <w:pStyle w:val="a3"/>
        <w:ind w:left="0"/>
        <w:jc w:val="left"/>
        <w:rPr>
          <w:b/>
          <w:sz w:val="30"/>
          <w:lang w:val="ru-RU"/>
        </w:rPr>
      </w:pPr>
    </w:p>
    <w:p w:rsidR="00F517A7" w:rsidRPr="00FE1F1A" w:rsidRDefault="00F517A7">
      <w:pPr>
        <w:pStyle w:val="a3"/>
        <w:ind w:left="0"/>
        <w:jc w:val="left"/>
        <w:rPr>
          <w:b/>
          <w:sz w:val="30"/>
          <w:lang w:val="ru-RU"/>
        </w:rPr>
      </w:pPr>
    </w:p>
    <w:p w:rsidR="00F517A7" w:rsidRPr="00FE1F1A" w:rsidRDefault="00F517A7">
      <w:pPr>
        <w:pStyle w:val="a3"/>
        <w:ind w:left="0"/>
        <w:jc w:val="left"/>
        <w:rPr>
          <w:b/>
          <w:sz w:val="30"/>
          <w:lang w:val="ru-RU"/>
        </w:rPr>
      </w:pPr>
    </w:p>
    <w:p w:rsidR="00F517A7" w:rsidRPr="00FE1F1A" w:rsidRDefault="00F517A7">
      <w:pPr>
        <w:pStyle w:val="a3"/>
        <w:ind w:left="0"/>
        <w:jc w:val="left"/>
        <w:rPr>
          <w:b/>
          <w:sz w:val="30"/>
          <w:lang w:val="ru-RU"/>
        </w:rPr>
      </w:pPr>
    </w:p>
    <w:p w:rsidR="00F517A7" w:rsidRPr="00FE1F1A" w:rsidRDefault="00F517A7">
      <w:pPr>
        <w:pStyle w:val="a3"/>
        <w:ind w:left="0"/>
        <w:jc w:val="left"/>
        <w:rPr>
          <w:b/>
          <w:sz w:val="30"/>
          <w:lang w:val="ru-RU"/>
        </w:rPr>
      </w:pPr>
    </w:p>
    <w:p w:rsidR="00F517A7" w:rsidRPr="00FE1F1A" w:rsidRDefault="00F517A7">
      <w:pPr>
        <w:pStyle w:val="a3"/>
        <w:ind w:left="0"/>
        <w:jc w:val="left"/>
        <w:rPr>
          <w:b/>
          <w:sz w:val="30"/>
          <w:lang w:val="ru-RU"/>
        </w:rPr>
      </w:pPr>
    </w:p>
    <w:p w:rsidR="00F517A7" w:rsidRPr="00FE1F1A" w:rsidRDefault="00F517A7">
      <w:pPr>
        <w:pStyle w:val="a3"/>
        <w:ind w:left="0"/>
        <w:jc w:val="left"/>
        <w:rPr>
          <w:b/>
          <w:sz w:val="30"/>
          <w:lang w:val="ru-RU"/>
        </w:rPr>
      </w:pPr>
    </w:p>
    <w:p w:rsidR="00F517A7" w:rsidRPr="00FE1F1A" w:rsidRDefault="00F517A7">
      <w:pPr>
        <w:pStyle w:val="a3"/>
        <w:ind w:left="0"/>
        <w:jc w:val="left"/>
        <w:rPr>
          <w:b/>
          <w:sz w:val="30"/>
          <w:lang w:val="ru-RU"/>
        </w:rPr>
      </w:pPr>
    </w:p>
    <w:p w:rsidR="00F517A7" w:rsidRPr="00FE1F1A" w:rsidRDefault="00F517A7">
      <w:pPr>
        <w:pStyle w:val="a3"/>
        <w:ind w:left="0"/>
        <w:jc w:val="left"/>
        <w:rPr>
          <w:b/>
          <w:sz w:val="30"/>
          <w:lang w:val="ru-RU"/>
        </w:rPr>
      </w:pPr>
    </w:p>
    <w:p w:rsidR="00F517A7" w:rsidRPr="00FE1F1A" w:rsidRDefault="00F517A7">
      <w:pPr>
        <w:pStyle w:val="a3"/>
        <w:ind w:left="0"/>
        <w:jc w:val="left"/>
        <w:rPr>
          <w:b/>
          <w:sz w:val="30"/>
          <w:lang w:val="ru-RU"/>
        </w:rPr>
      </w:pPr>
    </w:p>
    <w:p w:rsidR="00F517A7" w:rsidRPr="00FE1F1A" w:rsidRDefault="00F517A7">
      <w:pPr>
        <w:pStyle w:val="a3"/>
        <w:spacing w:before="4"/>
        <w:ind w:left="0"/>
        <w:jc w:val="left"/>
        <w:rPr>
          <w:b/>
          <w:sz w:val="26"/>
          <w:lang w:val="ru-RU"/>
        </w:rPr>
      </w:pPr>
    </w:p>
    <w:p w:rsidR="00F517A7" w:rsidRPr="00FE1F1A" w:rsidRDefault="00FE1F1A">
      <w:pPr>
        <w:spacing w:line="276" w:lineRule="auto"/>
        <w:ind w:left="262" w:right="259" w:firstLine="1159"/>
        <w:rPr>
          <w:b/>
          <w:sz w:val="28"/>
          <w:lang w:val="ru-RU"/>
        </w:rPr>
      </w:pPr>
      <w:r w:rsidRPr="00FE1F1A">
        <w:rPr>
          <w:b/>
          <w:sz w:val="28"/>
          <w:lang w:val="ru-RU"/>
        </w:rPr>
        <w:t xml:space="preserve">ФЕДЕРАЛЬНЫЕ КЛИНИЧЕСКИЕ РЕКОМЕНДАЦИИ ПО ВАКЦИНОПРОФИЛАКТИКЕ ГЕМОФИЛЬНОЙ ИНФЕКЦИИ ТИПА </w:t>
      </w:r>
      <w:r>
        <w:rPr>
          <w:b/>
          <w:sz w:val="28"/>
        </w:rPr>
        <w:t>b</w:t>
      </w:r>
    </w:p>
    <w:p w:rsidR="00F517A7" w:rsidRPr="00FE1F1A" w:rsidRDefault="00FE1F1A">
      <w:pPr>
        <w:spacing w:line="321" w:lineRule="exact"/>
        <w:ind w:left="4114" w:right="4121"/>
        <w:jc w:val="center"/>
        <w:rPr>
          <w:b/>
          <w:sz w:val="28"/>
          <w:lang w:val="ru-RU"/>
        </w:rPr>
      </w:pPr>
      <w:r w:rsidRPr="00FE1F1A">
        <w:rPr>
          <w:b/>
          <w:sz w:val="28"/>
          <w:lang w:val="ru-RU"/>
        </w:rPr>
        <w:t>У ДЕТЕЙ</w:t>
      </w:r>
    </w:p>
    <w:p w:rsidR="00F517A7" w:rsidRPr="00FE1F1A" w:rsidRDefault="00F517A7">
      <w:pPr>
        <w:pStyle w:val="a3"/>
        <w:ind w:left="0"/>
        <w:jc w:val="left"/>
        <w:rPr>
          <w:b/>
          <w:sz w:val="30"/>
          <w:lang w:val="ru-RU"/>
        </w:rPr>
      </w:pPr>
    </w:p>
    <w:p w:rsidR="00F517A7" w:rsidRPr="00FE1F1A" w:rsidRDefault="00F517A7">
      <w:pPr>
        <w:pStyle w:val="a3"/>
        <w:ind w:left="0"/>
        <w:jc w:val="left"/>
        <w:rPr>
          <w:b/>
          <w:sz w:val="30"/>
          <w:lang w:val="ru-RU"/>
        </w:rPr>
      </w:pPr>
    </w:p>
    <w:p w:rsidR="00F517A7" w:rsidRPr="00FE1F1A" w:rsidRDefault="00F517A7">
      <w:pPr>
        <w:pStyle w:val="a3"/>
        <w:spacing w:before="9"/>
        <w:ind w:left="0"/>
        <w:jc w:val="left"/>
        <w:rPr>
          <w:b/>
          <w:sz w:val="40"/>
          <w:lang w:val="ru-RU"/>
        </w:rPr>
      </w:pPr>
    </w:p>
    <w:p w:rsidR="00F517A7" w:rsidRPr="00FE1F1A" w:rsidRDefault="00FE1F1A">
      <w:pPr>
        <w:ind w:left="7037" w:right="226" w:hanging="293"/>
        <w:jc w:val="right"/>
        <w:rPr>
          <w:b/>
          <w:sz w:val="28"/>
          <w:lang w:val="ru-RU"/>
        </w:rPr>
      </w:pPr>
      <w:r w:rsidRPr="00FE1F1A">
        <w:rPr>
          <w:b/>
          <w:spacing w:val="-5"/>
          <w:sz w:val="28"/>
          <w:lang w:val="ru-RU"/>
        </w:rPr>
        <w:t>Главный</w:t>
      </w:r>
      <w:r w:rsidRPr="00FE1F1A">
        <w:rPr>
          <w:b/>
          <w:spacing w:val="-7"/>
          <w:sz w:val="28"/>
          <w:lang w:val="ru-RU"/>
        </w:rPr>
        <w:t xml:space="preserve"> </w:t>
      </w:r>
      <w:r w:rsidRPr="00FE1F1A">
        <w:rPr>
          <w:b/>
          <w:sz w:val="28"/>
          <w:lang w:val="ru-RU"/>
        </w:rPr>
        <w:t>внештатный</w:t>
      </w:r>
      <w:r w:rsidRPr="00FE1F1A">
        <w:rPr>
          <w:b/>
          <w:sz w:val="28"/>
          <w:lang w:val="ru-RU"/>
        </w:rPr>
        <w:t xml:space="preserve"> </w:t>
      </w:r>
      <w:r w:rsidRPr="00FE1F1A">
        <w:rPr>
          <w:b/>
          <w:sz w:val="28"/>
          <w:lang w:val="ru-RU"/>
        </w:rPr>
        <w:t>специалист</w:t>
      </w:r>
      <w:r w:rsidRPr="00FE1F1A">
        <w:rPr>
          <w:b/>
          <w:spacing w:val="12"/>
          <w:sz w:val="28"/>
          <w:lang w:val="ru-RU"/>
        </w:rPr>
        <w:t xml:space="preserve"> </w:t>
      </w:r>
      <w:r w:rsidRPr="00FE1F1A">
        <w:rPr>
          <w:b/>
          <w:spacing w:val="-5"/>
          <w:sz w:val="28"/>
          <w:lang w:val="ru-RU"/>
        </w:rPr>
        <w:t>педиатр</w:t>
      </w:r>
      <w:r w:rsidRPr="00FE1F1A">
        <w:rPr>
          <w:b/>
          <w:sz w:val="28"/>
          <w:lang w:val="ru-RU"/>
        </w:rPr>
        <w:t xml:space="preserve"> </w:t>
      </w:r>
      <w:r w:rsidRPr="00FE1F1A">
        <w:rPr>
          <w:b/>
          <w:sz w:val="28"/>
          <w:lang w:val="ru-RU"/>
        </w:rPr>
        <w:t>Минздрава</w:t>
      </w:r>
      <w:r w:rsidRPr="00FE1F1A">
        <w:rPr>
          <w:b/>
          <w:spacing w:val="-15"/>
          <w:sz w:val="28"/>
          <w:lang w:val="ru-RU"/>
        </w:rPr>
        <w:t xml:space="preserve"> </w:t>
      </w:r>
      <w:r w:rsidRPr="00FE1F1A">
        <w:rPr>
          <w:b/>
          <w:sz w:val="28"/>
          <w:lang w:val="ru-RU"/>
        </w:rPr>
        <w:t>России</w:t>
      </w:r>
      <w:r w:rsidRPr="00FE1F1A">
        <w:rPr>
          <w:b/>
          <w:sz w:val="28"/>
          <w:lang w:val="ru-RU"/>
        </w:rPr>
        <w:t xml:space="preserve"> </w:t>
      </w:r>
      <w:r w:rsidRPr="00FE1F1A">
        <w:rPr>
          <w:b/>
          <w:sz w:val="28"/>
          <w:lang w:val="ru-RU"/>
        </w:rPr>
        <w:t>Академик</w:t>
      </w:r>
      <w:r w:rsidRPr="00FE1F1A">
        <w:rPr>
          <w:b/>
          <w:spacing w:val="-5"/>
          <w:sz w:val="28"/>
          <w:lang w:val="ru-RU"/>
        </w:rPr>
        <w:t xml:space="preserve"> </w:t>
      </w:r>
      <w:r w:rsidRPr="00FE1F1A">
        <w:rPr>
          <w:b/>
          <w:spacing w:val="-14"/>
          <w:sz w:val="28"/>
          <w:lang w:val="ru-RU"/>
        </w:rPr>
        <w:t>РАН</w:t>
      </w:r>
    </w:p>
    <w:p w:rsidR="00F517A7" w:rsidRPr="00FE1F1A" w:rsidRDefault="00FE1F1A">
      <w:pPr>
        <w:spacing w:before="1"/>
        <w:ind w:right="224"/>
        <w:jc w:val="right"/>
        <w:rPr>
          <w:b/>
          <w:sz w:val="28"/>
          <w:lang w:val="ru-RU"/>
        </w:rPr>
      </w:pPr>
      <w:r w:rsidRPr="00FE1F1A">
        <w:rPr>
          <w:b/>
          <w:sz w:val="28"/>
          <w:lang w:val="ru-RU"/>
        </w:rPr>
        <w:t>А.А.</w:t>
      </w:r>
      <w:r w:rsidRPr="00FE1F1A">
        <w:rPr>
          <w:b/>
          <w:spacing w:val="-8"/>
          <w:sz w:val="28"/>
          <w:lang w:val="ru-RU"/>
        </w:rPr>
        <w:t xml:space="preserve"> </w:t>
      </w:r>
      <w:r w:rsidRPr="00FE1F1A">
        <w:rPr>
          <w:b/>
          <w:sz w:val="28"/>
          <w:lang w:val="ru-RU"/>
        </w:rPr>
        <w:t>Баранов</w:t>
      </w:r>
    </w:p>
    <w:p w:rsidR="00F517A7" w:rsidRPr="00FE1F1A" w:rsidRDefault="00F517A7">
      <w:pPr>
        <w:pStyle w:val="a3"/>
        <w:ind w:left="0"/>
        <w:jc w:val="left"/>
        <w:rPr>
          <w:b/>
          <w:sz w:val="20"/>
          <w:lang w:val="ru-RU"/>
        </w:rPr>
      </w:pPr>
    </w:p>
    <w:p w:rsidR="00F517A7" w:rsidRPr="00FE1F1A" w:rsidRDefault="00F517A7">
      <w:pPr>
        <w:pStyle w:val="a3"/>
        <w:ind w:left="0"/>
        <w:jc w:val="left"/>
        <w:rPr>
          <w:b/>
          <w:sz w:val="20"/>
          <w:lang w:val="ru-RU"/>
        </w:rPr>
      </w:pPr>
    </w:p>
    <w:p w:rsidR="00F517A7" w:rsidRPr="00FE1F1A" w:rsidRDefault="00FE1F1A">
      <w:pPr>
        <w:pStyle w:val="a3"/>
        <w:ind w:left="0"/>
        <w:jc w:val="left"/>
        <w:rPr>
          <w:b/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5330825</wp:posOffset>
                </wp:positionH>
                <wp:positionV relativeFrom="paragraph">
                  <wp:posOffset>111125</wp:posOffset>
                </wp:positionV>
                <wp:extent cx="1691005" cy="0"/>
                <wp:effectExtent l="6350" t="6350" r="7620" b="1270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00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9.75pt,8.75pt" to="552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9pHAIAAEI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" strokeweight=".31203mm">
                <w10:wrap type="topAndBottom" anchorx="page"/>
              </v:line>
            </w:pict>
          </mc:Fallback>
        </mc:AlternateContent>
      </w:r>
    </w:p>
    <w:p w:rsidR="00F517A7" w:rsidRPr="00FE1F1A" w:rsidRDefault="00F517A7">
      <w:pPr>
        <w:pStyle w:val="a3"/>
        <w:spacing w:before="7"/>
        <w:ind w:left="0"/>
        <w:jc w:val="left"/>
        <w:rPr>
          <w:b/>
          <w:sz w:val="17"/>
          <w:lang w:val="ru-RU"/>
        </w:rPr>
      </w:pPr>
    </w:p>
    <w:p w:rsidR="00F517A7" w:rsidRPr="00FE1F1A" w:rsidRDefault="00FE1F1A">
      <w:pPr>
        <w:spacing w:before="89" w:line="276" w:lineRule="auto"/>
        <w:ind w:left="6648" w:right="224" w:firstLine="60"/>
        <w:jc w:val="right"/>
        <w:rPr>
          <w:b/>
          <w:sz w:val="28"/>
          <w:lang w:val="ru-RU"/>
        </w:rPr>
      </w:pPr>
      <w:r w:rsidRPr="00FE1F1A">
        <w:rPr>
          <w:b/>
          <w:sz w:val="28"/>
          <w:lang w:val="ru-RU"/>
        </w:rPr>
        <w:t>Главный</w:t>
      </w:r>
      <w:r w:rsidRPr="00FE1F1A">
        <w:rPr>
          <w:b/>
          <w:spacing w:val="-8"/>
          <w:sz w:val="28"/>
          <w:lang w:val="ru-RU"/>
        </w:rPr>
        <w:t xml:space="preserve"> </w:t>
      </w:r>
      <w:r w:rsidRPr="00FE1F1A">
        <w:rPr>
          <w:b/>
          <w:sz w:val="28"/>
          <w:lang w:val="ru-RU"/>
        </w:rPr>
        <w:t>внештатный</w:t>
      </w:r>
      <w:r w:rsidRPr="00FE1F1A">
        <w:rPr>
          <w:b/>
          <w:sz w:val="28"/>
          <w:lang w:val="ru-RU"/>
        </w:rPr>
        <w:t xml:space="preserve"> </w:t>
      </w:r>
      <w:r w:rsidRPr="00FE1F1A">
        <w:rPr>
          <w:b/>
          <w:sz w:val="28"/>
          <w:lang w:val="ru-RU"/>
        </w:rPr>
        <w:t>детский</w:t>
      </w:r>
      <w:r w:rsidRPr="00FE1F1A">
        <w:rPr>
          <w:b/>
          <w:spacing w:val="-4"/>
          <w:sz w:val="28"/>
          <w:lang w:val="ru-RU"/>
        </w:rPr>
        <w:t xml:space="preserve"> </w:t>
      </w:r>
      <w:r w:rsidRPr="00FE1F1A">
        <w:rPr>
          <w:b/>
          <w:sz w:val="28"/>
          <w:lang w:val="ru-RU"/>
        </w:rPr>
        <w:t>специалист</w:t>
      </w:r>
      <w:r w:rsidRPr="00FE1F1A">
        <w:rPr>
          <w:b/>
          <w:sz w:val="28"/>
          <w:lang w:val="ru-RU"/>
        </w:rPr>
        <w:t xml:space="preserve"> </w:t>
      </w:r>
      <w:r w:rsidRPr="00FE1F1A">
        <w:rPr>
          <w:b/>
          <w:spacing w:val="-1"/>
          <w:sz w:val="28"/>
          <w:lang w:val="ru-RU"/>
        </w:rPr>
        <w:t xml:space="preserve">аллерголог-иммунолог </w:t>
      </w:r>
      <w:r w:rsidRPr="00FE1F1A">
        <w:rPr>
          <w:b/>
          <w:sz w:val="28"/>
          <w:lang w:val="ru-RU"/>
        </w:rPr>
        <w:t>Минздрава</w:t>
      </w:r>
      <w:r w:rsidRPr="00FE1F1A">
        <w:rPr>
          <w:b/>
          <w:spacing w:val="-3"/>
          <w:sz w:val="28"/>
          <w:lang w:val="ru-RU"/>
        </w:rPr>
        <w:t xml:space="preserve"> </w:t>
      </w:r>
      <w:r w:rsidRPr="00FE1F1A">
        <w:rPr>
          <w:b/>
          <w:sz w:val="28"/>
          <w:lang w:val="ru-RU"/>
        </w:rPr>
        <w:t>России</w:t>
      </w:r>
    </w:p>
    <w:p w:rsidR="00F517A7" w:rsidRPr="00FE1F1A" w:rsidRDefault="00FE1F1A">
      <w:pPr>
        <w:spacing w:before="2" w:line="276" w:lineRule="auto"/>
        <w:ind w:left="6418" w:right="226" w:hanging="132"/>
        <w:jc w:val="right"/>
        <w:rPr>
          <w:b/>
          <w:sz w:val="28"/>
          <w:lang w:val="ru-RU"/>
        </w:rPr>
      </w:pPr>
      <w:r w:rsidRPr="00FE1F1A">
        <w:rPr>
          <w:b/>
          <w:sz w:val="28"/>
          <w:lang w:val="ru-RU"/>
        </w:rPr>
        <w:t>Член-корреспондент</w:t>
      </w:r>
      <w:r w:rsidRPr="00FE1F1A">
        <w:rPr>
          <w:b/>
          <w:spacing w:val="-10"/>
          <w:sz w:val="28"/>
          <w:lang w:val="ru-RU"/>
        </w:rPr>
        <w:t xml:space="preserve"> </w:t>
      </w:r>
      <w:r w:rsidRPr="00FE1F1A">
        <w:rPr>
          <w:b/>
          <w:sz w:val="28"/>
          <w:lang w:val="ru-RU"/>
        </w:rPr>
        <w:t>РАН</w:t>
      </w:r>
      <w:r w:rsidRPr="00FE1F1A">
        <w:rPr>
          <w:b/>
          <w:sz w:val="28"/>
          <w:lang w:val="ru-RU"/>
        </w:rPr>
        <w:t xml:space="preserve"> </w:t>
      </w:r>
      <w:r w:rsidRPr="00FE1F1A">
        <w:rPr>
          <w:b/>
          <w:sz w:val="28"/>
          <w:lang w:val="ru-RU"/>
        </w:rPr>
        <w:t>Л.С.</w:t>
      </w:r>
      <w:r w:rsidRPr="00FE1F1A">
        <w:rPr>
          <w:b/>
          <w:spacing w:val="-18"/>
          <w:sz w:val="28"/>
          <w:lang w:val="ru-RU"/>
        </w:rPr>
        <w:t xml:space="preserve"> </w:t>
      </w:r>
      <w:r w:rsidRPr="00FE1F1A">
        <w:rPr>
          <w:b/>
          <w:sz w:val="28"/>
          <w:lang w:val="ru-RU"/>
        </w:rPr>
        <w:t>Намазова-Баранова</w:t>
      </w:r>
    </w:p>
    <w:p w:rsidR="00F517A7" w:rsidRPr="00FE1F1A" w:rsidRDefault="00F517A7">
      <w:pPr>
        <w:pStyle w:val="a3"/>
        <w:ind w:left="0"/>
        <w:jc w:val="left"/>
        <w:rPr>
          <w:b/>
          <w:sz w:val="20"/>
          <w:lang w:val="ru-RU"/>
        </w:rPr>
      </w:pPr>
    </w:p>
    <w:p w:rsidR="00F517A7" w:rsidRPr="00FE1F1A" w:rsidRDefault="00F517A7">
      <w:pPr>
        <w:pStyle w:val="a3"/>
        <w:ind w:left="0"/>
        <w:jc w:val="left"/>
        <w:rPr>
          <w:b/>
          <w:sz w:val="20"/>
          <w:lang w:val="ru-RU"/>
        </w:rPr>
      </w:pPr>
    </w:p>
    <w:p w:rsidR="00F517A7" w:rsidRPr="00FE1F1A" w:rsidRDefault="00FE1F1A">
      <w:pPr>
        <w:pStyle w:val="a3"/>
        <w:spacing w:before="1"/>
        <w:ind w:left="0"/>
        <w:jc w:val="left"/>
        <w:rPr>
          <w:b/>
          <w:sz w:val="1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5330825</wp:posOffset>
                </wp:positionH>
                <wp:positionV relativeFrom="paragraph">
                  <wp:posOffset>140970</wp:posOffset>
                </wp:positionV>
                <wp:extent cx="1691005" cy="0"/>
                <wp:effectExtent l="6350" t="7620" r="7620" b="1143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00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9.75pt,11.1pt" to="552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LaHAIAAEI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" strokeweight=".31203mm">
                <w10:wrap type="topAndBottom" anchorx="page"/>
              </v:line>
            </w:pict>
          </mc:Fallback>
        </mc:AlternateContent>
      </w:r>
    </w:p>
    <w:p w:rsidR="00F517A7" w:rsidRPr="00FE1F1A" w:rsidRDefault="00F517A7">
      <w:pPr>
        <w:pStyle w:val="a3"/>
        <w:ind w:left="0"/>
        <w:jc w:val="left"/>
        <w:rPr>
          <w:b/>
          <w:sz w:val="20"/>
          <w:lang w:val="ru-RU"/>
        </w:rPr>
      </w:pPr>
    </w:p>
    <w:p w:rsidR="00F517A7" w:rsidRPr="00FE1F1A" w:rsidRDefault="00F517A7">
      <w:pPr>
        <w:pStyle w:val="a3"/>
        <w:ind w:left="0"/>
        <w:jc w:val="left"/>
        <w:rPr>
          <w:b/>
          <w:sz w:val="20"/>
          <w:lang w:val="ru-RU"/>
        </w:rPr>
      </w:pPr>
    </w:p>
    <w:p w:rsidR="00F517A7" w:rsidRPr="00FE1F1A" w:rsidRDefault="00F517A7">
      <w:pPr>
        <w:pStyle w:val="a3"/>
        <w:ind w:left="0"/>
        <w:jc w:val="left"/>
        <w:rPr>
          <w:b/>
          <w:sz w:val="20"/>
          <w:lang w:val="ru-RU"/>
        </w:rPr>
      </w:pPr>
    </w:p>
    <w:p w:rsidR="00F517A7" w:rsidRPr="00FE1F1A" w:rsidRDefault="00F517A7">
      <w:pPr>
        <w:pStyle w:val="a3"/>
        <w:ind w:left="0"/>
        <w:jc w:val="left"/>
        <w:rPr>
          <w:b/>
          <w:sz w:val="20"/>
          <w:lang w:val="ru-RU"/>
        </w:rPr>
      </w:pPr>
    </w:p>
    <w:p w:rsidR="00F517A7" w:rsidRPr="00FE1F1A" w:rsidRDefault="00F517A7">
      <w:pPr>
        <w:pStyle w:val="a3"/>
        <w:ind w:left="0"/>
        <w:jc w:val="left"/>
        <w:rPr>
          <w:b/>
          <w:sz w:val="20"/>
          <w:lang w:val="ru-RU"/>
        </w:rPr>
      </w:pPr>
    </w:p>
    <w:p w:rsidR="00F517A7" w:rsidRPr="00FE1F1A" w:rsidRDefault="00F517A7">
      <w:pPr>
        <w:pStyle w:val="a3"/>
        <w:ind w:left="0"/>
        <w:jc w:val="left"/>
        <w:rPr>
          <w:b/>
          <w:sz w:val="20"/>
          <w:lang w:val="ru-RU"/>
        </w:rPr>
      </w:pPr>
    </w:p>
    <w:p w:rsidR="00F517A7" w:rsidRPr="00FE1F1A" w:rsidRDefault="00F517A7">
      <w:pPr>
        <w:pStyle w:val="a3"/>
        <w:ind w:left="0"/>
        <w:jc w:val="left"/>
        <w:rPr>
          <w:b/>
          <w:sz w:val="20"/>
          <w:lang w:val="ru-RU"/>
        </w:rPr>
      </w:pPr>
    </w:p>
    <w:p w:rsidR="00F517A7" w:rsidRPr="00FE1F1A" w:rsidRDefault="00F517A7">
      <w:pPr>
        <w:pStyle w:val="a3"/>
        <w:ind w:left="0"/>
        <w:jc w:val="left"/>
        <w:rPr>
          <w:b/>
          <w:sz w:val="20"/>
          <w:lang w:val="ru-RU"/>
        </w:rPr>
      </w:pPr>
    </w:p>
    <w:p w:rsidR="00F517A7" w:rsidRPr="00FE1F1A" w:rsidRDefault="00F517A7">
      <w:pPr>
        <w:pStyle w:val="a3"/>
        <w:spacing w:before="1"/>
        <w:ind w:left="0"/>
        <w:jc w:val="left"/>
        <w:rPr>
          <w:b/>
          <w:sz w:val="27"/>
          <w:lang w:val="ru-RU"/>
        </w:rPr>
      </w:pPr>
    </w:p>
    <w:p w:rsidR="00F517A7" w:rsidRDefault="00FE1F1A">
      <w:pPr>
        <w:spacing w:before="89"/>
        <w:ind w:left="4258" w:right="3558"/>
        <w:jc w:val="center"/>
        <w:rPr>
          <w:b/>
          <w:sz w:val="28"/>
        </w:rPr>
      </w:pPr>
      <w:r>
        <w:rPr>
          <w:b/>
          <w:sz w:val="28"/>
        </w:rPr>
        <w:t>2015 г.</w:t>
      </w:r>
    </w:p>
    <w:p w:rsidR="00F517A7" w:rsidRDefault="00F517A7">
      <w:pPr>
        <w:jc w:val="center"/>
        <w:rPr>
          <w:sz w:val="28"/>
        </w:rPr>
        <w:sectPr w:rsidR="00F517A7">
          <w:footerReference w:type="default" r:id="rId8"/>
          <w:type w:val="continuous"/>
          <w:pgSz w:w="11910" w:h="16840"/>
          <w:pgMar w:top="1040" w:right="620" w:bottom="1120" w:left="1480" w:header="720" w:footer="925" w:gutter="0"/>
          <w:pgNumType w:start="1"/>
          <w:cols w:space="720"/>
        </w:sectPr>
      </w:pPr>
    </w:p>
    <w:p w:rsidR="00F517A7" w:rsidRDefault="00FE1F1A">
      <w:pPr>
        <w:spacing w:before="72"/>
        <w:ind w:left="929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rPr>
          <w:i/>
        </w:rPr>
        <w:id w:val="-89787718"/>
        <w:docPartObj>
          <w:docPartGallery w:val="Table of Contents"/>
          <w:docPartUnique/>
        </w:docPartObj>
      </w:sdtPr>
      <w:sdtEndPr/>
      <w:sdtContent>
        <w:p w:rsidR="00F517A7" w:rsidRDefault="00FE1F1A">
          <w:pPr>
            <w:pStyle w:val="10"/>
            <w:tabs>
              <w:tab w:val="right" w:leader="dot" w:pos="9568"/>
            </w:tabs>
            <w:spacing w:before="49"/>
            <w:rPr>
              <w:rFonts w:ascii="Calibri" w:hAnsi="Calibri"/>
            </w:rPr>
          </w:pPr>
          <w:hyperlink w:anchor="_TOC_250009" w:history="1">
            <w:r>
              <w:t>МЕТОДОЛОГИЯ</w:t>
            </w:r>
            <w:r>
              <w:tab/>
            </w:r>
            <w:r>
              <w:rPr>
                <w:rFonts w:ascii="Calibri" w:hAnsi="Calibri"/>
              </w:rPr>
              <w:t>4</w:t>
            </w:r>
          </w:hyperlink>
        </w:p>
        <w:p w:rsidR="00F517A7" w:rsidRDefault="00FE1F1A">
          <w:pPr>
            <w:pStyle w:val="10"/>
            <w:tabs>
              <w:tab w:val="right" w:leader="dot" w:pos="9568"/>
            </w:tabs>
            <w:spacing w:before="39"/>
            <w:rPr>
              <w:rFonts w:ascii="Calibri" w:hAnsi="Calibri"/>
            </w:rPr>
          </w:pPr>
          <w:hyperlink w:anchor="_TOC_250008" w:history="1">
            <w:r>
              <w:t>ХАРАКТЕРИСТИКА</w:t>
            </w:r>
            <w:r>
              <w:rPr>
                <w:spacing w:val="-2"/>
              </w:rPr>
              <w:t xml:space="preserve"> </w:t>
            </w:r>
            <w:r>
              <w:t>ВОЗБУДИТЕЛЯ</w:t>
            </w:r>
            <w:r>
              <w:tab/>
            </w:r>
            <w:r>
              <w:rPr>
                <w:rFonts w:ascii="Calibri" w:hAnsi="Calibri"/>
              </w:rPr>
              <w:t>7</w:t>
            </w:r>
          </w:hyperlink>
        </w:p>
        <w:p w:rsidR="00F517A7" w:rsidRDefault="00FE1F1A">
          <w:pPr>
            <w:pStyle w:val="10"/>
            <w:tabs>
              <w:tab w:val="right" w:leader="dot" w:pos="9568"/>
            </w:tabs>
            <w:rPr>
              <w:rFonts w:ascii="Calibri" w:hAnsi="Calibri"/>
            </w:rPr>
          </w:pPr>
          <w:hyperlink w:anchor="_TOC_250007" w:history="1">
            <w:r>
              <w:t>ПАТОГЕНЕЗ</w:t>
            </w:r>
            <w:r>
              <w:tab/>
            </w:r>
            <w:r>
              <w:rPr>
                <w:rFonts w:ascii="Calibri" w:hAnsi="Calibri"/>
              </w:rPr>
              <w:t>7</w:t>
            </w:r>
          </w:hyperlink>
        </w:p>
        <w:p w:rsidR="00F517A7" w:rsidRDefault="00FE1F1A">
          <w:pPr>
            <w:pStyle w:val="10"/>
            <w:tabs>
              <w:tab w:val="right" w:leader="dot" w:pos="9568"/>
            </w:tabs>
            <w:rPr>
              <w:rFonts w:ascii="Calibri" w:hAnsi="Calibri"/>
            </w:rPr>
          </w:pPr>
          <w:hyperlink w:anchor="_TOC_250006" w:history="1">
            <w:r>
              <w:t>ЭПИДЕМИОЛОГИЯ И ОСОБЕННОСТИ</w:t>
            </w:r>
            <w:r>
              <w:rPr>
                <w:spacing w:val="-4"/>
              </w:rPr>
              <w:t xml:space="preserve"> </w:t>
            </w:r>
            <w:r>
              <w:t>КЛИНИЧЕСКИХ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tab/>
            </w:r>
            <w:r>
              <w:rPr>
                <w:rFonts w:ascii="Calibri" w:hAnsi="Calibri"/>
              </w:rPr>
              <w:t>7</w:t>
            </w:r>
          </w:hyperlink>
        </w:p>
        <w:p w:rsidR="00F517A7" w:rsidRDefault="00FE1F1A">
          <w:pPr>
            <w:pStyle w:val="10"/>
            <w:tabs>
              <w:tab w:val="right" w:leader="dot" w:pos="9568"/>
            </w:tabs>
            <w:rPr>
              <w:rFonts w:ascii="Calibri" w:hAnsi="Calibri"/>
            </w:rPr>
          </w:pPr>
          <w:hyperlink w:anchor="_TOC_250005" w:history="1">
            <w:r>
              <w:t>ДИАГНОСТИКА</w:t>
            </w:r>
            <w:r>
              <w:tab/>
            </w:r>
            <w:r>
              <w:rPr>
                <w:rFonts w:ascii="Calibri" w:hAnsi="Calibri"/>
              </w:rPr>
              <w:t>9</w:t>
            </w:r>
          </w:hyperlink>
        </w:p>
        <w:p w:rsidR="00F517A7" w:rsidRDefault="00FE1F1A">
          <w:pPr>
            <w:pStyle w:val="10"/>
            <w:tabs>
              <w:tab w:val="right" w:leader="dot" w:pos="9568"/>
            </w:tabs>
            <w:spacing w:before="38"/>
            <w:rPr>
              <w:rFonts w:ascii="Calibri" w:hAnsi="Calibri"/>
            </w:rPr>
          </w:pPr>
          <w:hyperlink w:anchor="_TOC_250004" w:history="1">
            <w:r>
              <w:t>ПРОФИЛАКТИКА</w:t>
            </w:r>
            <w:r>
              <w:tab/>
            </w:r>
            <w:r>
              <w:rPr>
                <w:rFonts w:ascii="Calibri" w:hAnsi="Calibri"/>
              </w:rPr>
              <w:t>10</w:t>
            </w:r>
          </w:hyperlink>
        </w:p>
        <w:p w:rsidR="00F517A7" w:rsidRDefault="00FE1F1A">
          <w:pPr>
            <w:pStyle w:val="10"/>
            <w:tabs>
              <w:tab w:val="right" w:leader="dot" w:pos="9568"/>
            </w:tabs>
            <w:spacing w:before="42"/>
            <w:rPr>
              <w:rFonts w:ascii="Calibri" w:hAnsi="Calibri"/>
            </w:rPr>
          </w:pPr>
          <w:r>
            <w:t>Специфическая</w:t>
          </w:r>
          <w:r>
            <w:rPr>
              <w:spacing w:val="-2"/>
            </w:rPr>
            <w:t xml:space="preserve"> </w:t>
          </w:r>
          <w:r>
            <w:t>профилактика</w:t>
          </w:r>
          <w:r>
            <w:tab/>
          </w:r>
          <w:r>
            <w:rPr>
              <w:rFonts w:ascii="Calibri" w:hAnsi="Calibri"/>
            </w:rPr>
            <w:t>10</w:t>
          </w:r>
        </w:p>
        <w:p w:rsidR="00F517A7" w:rsidRDefault="00FE1F1A">
          <w:pPr>
            <w:pStyle w:val="20"/>
            <w:tabs>
              <w:tab w:val="right" w:leader="dot" w:pos="9568"/>
            </w:tabs>
            <w:spacing w:before="41"/>
            <w:rPr>
              <w:rFonts w:ascii="Calibri" w:hAnsi="Calibri"/>
              <w:i w:val="0"/>
            </w:rPr>
          </w:pPr>
          <w:r>
            <w:t>Характеристика вакцин против гемофильной инфекции</w:t>
          </w:r>
          <w:r>
            <w:rPr>
              <w:spacing w:val="-3"/>
            </w:rPr>
            <w:t xml:space="preserve"> </w:t>
          </w:r>
          <w:r>
            <w:t>типа</w:t>
          </w:r>
          <w:r>
            <w:rPr>
              <w:spacing w:val="-1"/>
            </w:rPr>
            <w:t xml:space="preserve"> </w:t>
          </w:r>
          <w:r>
            <w:t>b</w:t>
          </w:r>
          <w:r>
            <w:tab/>
          </w:r>
          <w:r>
            <w:rPr>
              <w:rFonts w:ascii="Calibri" w:hAnsi="Calibri"/>
              <w:i w:val="0"/>
            </w:rPr>
            <w:t>10</w:t>
          </w:r>
        </w:p>
        <w:p w:rsidR="00F517A7" w:rsidRDefault="00FE1F1A">
          <w:pPr>
            <w:pStyle w:val="20"/>
            <w:tabs>
              <w:tab w:val="right" w:leader="dot" w:pos="9567"/>
            </w:tabs>
            <w:rPr>
              <w:i w:val="0"/>
            </w:rPr>
          </w:pPr>
          <w:hyperlink w:anchor="_TOC_250003" w:history="1">
            <w:r>
              <w:t>Показания к</w:t>
            </w:r>
            <w:r>
              <w:rPr>
                <w:spacing w:val="-1"/>
              </w:rPr>
              <w:t xml:space="preserve"> </w:t>
            </w:r>
            <w:r>
              <w:t>проведению</w:t>
            </w:r>
            <w:r>
              <w:rPr>
                <w:spacing w:val="-2"/>
              </w:rPr>
              <w:t xml:space="preserve"> </w:t>
            </w:r>
            <w:r>
              <w:t>вакцинации</w:t>
            </w:r>
            <w:r>
              <w:tab/>
            </w:r>
            <w:r>
              <w:rPr>
                <w:i w:val="0"/>
              </w:rPr>
              <w:t>16</w:t>
            </w:r>
          </w:hyperlink>
        </w:p>
        <w:p w:rsidR="00F517A7" w:rsidRDefault="00FE1F1A">
          <w:pPr>
            <w:pStyle w:val="20"/>
            <w:tabs>
              <w:tab w:val="right" w:leader="dot" w:pos="9567"/>
            </w:tabs>
            <w:spacing w:before="38"/>
            <w:rPr>
              <w:i w:val="0"/>
            </w:rPr>
          </w:pPr>
          <w:hyperlink w:anchor="_TOC_250002" w:history="1">
            <w:r>
              <w:t>Пациенты, относящиеся к</w:t>
            </w:r>
            <w:r>
              <w:rPr>
                <w:spacing w:val="-3"/>
              </w:rPr>
              <w:t xml:space="preserve"> </w:t>
            </w:r>
            <w:r>
              <w:t>группе риска</w:t>
            </w:r>
            <w:r>
              <w:tab/>
            </w:r>
            <w:r>
              <w:rPr>
                <w:i w:val="0"/>
              </w:rPr>
              <w:t>16</w:t>
            </w:r>
          </w:hyperlink>
        </w:p>
        <w:p w:rsidR="00F517A7" w:rsidRDefault="00FE1F1A">
          <w:pPr>
            <w:pStyle w:val="30"/>
            <w:tabs>
              <w:tab w:val="left" w:leader="dot" w:pos="6161"/>
            </w:tabs>
            <w:rPr>
              <w:i w:val="0"/>
            </w:rPr>
          </w:pPr>
          <w:r>
            <w:rPr>
              <w:b w:val="0"/>
            </w:rPr>
            <w:t>Противопоказания к</w:t>
          </w:r>
          <w:r>
            <w:rPr>
              <w:b w:val="0"/>
              <w:spacing w:val="-3"/>
            </w:rPr>
            <w:t xml:space="preserve"> </w:t>
          </w:r>
          <w:r>
            <w:rPr>
              <w:b w:val="0"/>
            </w:rPr>
            <w:t>проведению</w:t>
          </w:r>
          <w:r>
            <w:rPr>
              <w:b w:val="0"/>
              <w:spacing w:val="-3"/>
            </w:rPr>
            <w:t xml:space="preserve"> </w:t>
          </w:r>
          <w:r>
            <w:rPr>
              <w:b w:val="0"/>
            </w:rPr>
            <w:t>вакцинации</w:t>
          </w:r>
          <w:r>
            <w:rPr>
              <w:b w:val="0"/>
            </w:rPr>
            <w:tab/>
          </w:r>
          <w:r>
            <w:rPr>
              <w:i w:val="0"/>
            </w:rPr>
            <w:t>Ошибка! Закладка не</w:t>
          </w:r>
          <w:r>
            <w:rPr>
              <w:i w:val="0"/>
              <w:spacing w:val="-11"/>
            </w:rPr>
            <w:t xml:space="preserve"> </w:t>
          </w:r>
          <w:r>
            <w:rPr>
              <w:i w:val="0"/>
            </w:rPr>
            <w:t>определена.</w:t>
          </w:r>
        </w:p>
        <w:p w:rsidR="00F517A7" w:rsidRDefault="00FE1F1A">
          <w:pPr>
            <w:pStyle w:val="20"/>
            <w:tabs>
              <w:tab w:val="right" w:leader="dot" w:pos="9567"/>
            </w:tabs>
            <w:spacing w:before="38"/>
            <w:rPr>
              <w:i w:val="0"/>
            </w:rPr>
          </w:pPr>
          <w:hyperlink w:anchor="_TOC_250001" w:history="1">
            <w:r>
              <w:t>Возможность одновременной вакцинации с</w:t>
            </w:r>
            <w:r>
              <w:rPr>
                <w:spacing w:val="-7"/>
              </w:rPr>
              <w:t xml:space="preserve"> </w:t>
            </w:r>
            <w:r>
              <w:t>другими вакцинами</w:t>
            </w:r>
            <w:r>
              <w:tab/>
            </w:r>
            <w:r>
              <w:rPr>
                <w:i w:val="0"/>
              </w:rPr>
              <w:t>18</w:t>
            </w:r>
          </w:hyperlink>
        </w:p>
        <w:p w:rsidR="00F517A7" w:rsidRDefault="00FE1F1A">
          <w:pPr>
            <w:pStyle w:val="20"/>
            <w:tabs>
              <w:tab w:val="right" w:leader="dot" w:pos="9567"/>
            </w:tabs>
            <w:spacing w:before="37"/>
            <w:rPr>
              <w:i w:val="0"/>
            </w:rPr>
          </w:pPr>
          <w:hyperlink w:anchor="_TOC_250000" w:history="1">
            <w:r>
              <w:t>Поствакцинальные</w:t>
            </w:r>
            <w:r>
              <w:rPr>
                <w:spacing w:val="-1"/>
              </w:rPr>
              <w:t xml:space="preserve"> </w:t>
            </w:r>
            <w:r>
              <w:t>реакции</w:t>
            </w:r>
            <w:r>
              <w:tab/>
            </w:r>
            <w:r>
              <w:rPr>
                <w:i w:val="0"/>
              </w:rPr>
              <w:t>19</w:t>
            </w:r>
          </w:hyperlink>
        </w:p>
      </w:sdtContent>
    </w:sdt>
    <w:p w:rsidR="00F517A7" w:rsidRDefault="00FE1F1A">
      <w:pPr>
        <w:tabs>
          <w:tab w:val="left" w:leader="dot" w:pos="6231"/>
        </w:tabs>
        <w:spacing w:before="41"/>
        <w:ind w:left="221"/>
        <w:rPr>
          <w:rFonts w:ascii="Calibri" w:hAnsi="Calibri"/>
          <w:b/>
        </w:rPr>
      </w:pPr>
      <w:r>
        <w:t>Неспецифическая</w:t>
      </w:r>
      <w:r>
        <w:rPr>
          <w:spacing w:val="-3"/>
        </w:rPr>
        <w:t xml:space="preserve"> </w:t>
      </w:r>
      <w:r>
        <w:t>профилактика</w:t>
      </w:r>
      <w:r>
        <w:tab/>
      </w:r>
      <w:r>
        <w:rPr>
          <w:rFonts w:ascii="Calibri" w:hAnsi="Calibri"/>
          <w:b/>
        </w:rPr>
        <w:t>Ошибка! Закладка не</w:t>
      </w:r>
      <w:r>
        <w:rPr>
          <w:rFonts w:ascii="Calibri" w:hAnsi="Calibri"/>
          <w:b/>
          <w:spacing w:val="-20"/>
        </w:rPr>
        <w:t xml:space="preserve"> </w:t>
      </w:r>
      <w:r>
        <w:rPr>
          <w:rFonts w:ascii="Calibri" w:hAnsi="Calibri"/>
          <w:b/>
        </w:rPr>
        <w:t>определена.</w:t>
      </w:r>
    </w:p>
    <w:p w:rsidR="00F517A7" w:rsidRDefault="00FE1F1A">
      <w:pPr>
        <w:tabs>
          <w:tab w:val="left" w:leader="dot" w:pos="6231"/>
        </w:tabs>
        <w:spacing w:before="41"/>
        <w:ind w:left="929"/>
        <w:rPr>
          <w:rFonts w:ascii="Calibri" w:hAnsi="Calibri"/>
          <w:b/>
        </w:rPr>
      </w:pPr>
      <w:r>
        <w:rPr>
          <w:i/>
        </w:rPr>
        <w:t>Мероприятия в очаге гемофильной инфекции</w:t>
      </w:r>
      <w:r>
        <w:rPr>
          <w:i/>
          <w:spacing w:val="-5"/>
        </w:rPr>
        <w:t xml:space="preserve"> </w:t>
      </w:r>
      <w:r>
        <w:rPr>
          <w:i/>
        </w:rPr>
        <w:t>типа</w:t>
      </w:r>
      <w:r>
        <w:rPr>
          <w:i/>
          <w:spacing w:val="-3"/>
        </w:rPr>
        <w:t xml:space="preserve"> </w:t>
      </w:r>
      <w:r>
        <w:rPr>
          <w:i/>
        </w:rPr>
        <w:t>b</w:t>
      </w:r>
      <w:r>
        <w:rPr>
          <w:i/>
        </w:rPr>
        <w:tab/>
      </w:r>
      <w:r>
        <w:rPr>
          <w:rFonts w:ascii="Calibri" w:hAnsi="Calibri"/>
          <w:b/>
        </w:rPr>
        <w:t>Ошибка! Закладка не</w:t>
      </w:r>
      <w:r>
        <w:rPr>
          <w:rFonts w:ascii="Calibri" w:hAnsi="Calibri"/>
          <w:b/>
          <w:spacing w:val="-20"/>
        </w:rPr>
        <w:t xml:space="preserve"> </w:t>
      </w:r>
      <w:r>
        <w:rPr>
          <w:rFonts w:ascii="Calibri" w:hAnsi="Calibri"/>
          <w:b/>
        </w:rPr>
        <w:t>определена.</w:t>
      </w:r>
    </w:p>
    <w:p w:rsidR="00F517A7" w:rsidRDefault="00F517A7">
      <w:pPr>
        <w:rPr>
          <w:rFonts w:ascii="Calibri" w:hAnsi="Calibri"/>
        </w:rPr>
        <w:sectPr w:rsidR="00F517A7">
          <w:pgSz w:w="11910" w:h="16840"/>
          <w:pgMar w:top="1040" w:right="620" w:bottom="1200" w:left="1480" w:header="0" w:footer="925" w:gutter="0"/>
          <w:cols w:space="720"/>
        </w:sectPr>
      </w:pPr>
    </w:p>
    <w:p w:rsidR="00F517A7" w:rsidRDefault="00FE1F1A">
      <w:pPr>
        <w:pStyle w:val="2"/>
        <w:spacing w:before="91"/>
      </w:pPr>
      <w:r>
        <w:lastRenderedPageBreak/>
        <w:t>Сокращения</w:t>
      </w:r>
    </w:p>
    <w:p w:rsidR="00F517A7" w:rsidRDefault="00FE1F1A">
      <w:pPr>
        <w:spacing w:before="44" w:line="276" w:lineRule="auto"/>
        <w:ind w:left="929" w:right="5221"/>
        <w:jc w:val="both"/>
        <w:rPr>
          <w:sz w:val="24"/>
        </w:rPr>
      </w:pPr>
      <w:r>
        <w:rPr>
          <w:sz w:val="24"/>
        </w:rPr>
        <w:t xml:space="preserve">Hib – </w:t>
      </w:r>
      <w:r>
        <w:rPr>
          <w:i/>
          <w:sz w:val="24"/>
        </w:rPr>
        <w:t xml:space="preserve">Haemophilus influenzae </w:t>
      </w:r>
      <w:r>
        <w:rPr>
          <w:sz w:val="24"/>
        </w:rPr>
        <w:t>типа b PRP - полирибозилрибитолфосфата СМЖ –</w:t>
      </w:r>
      <w:r>
        <w:rPr>
          <w:sz w:val="24"/>
        </w:rPr>
        <w:t xml:space="preserve"> спинномозговая жидкость</w:t>
      </w:r>
    </w:p>
    <w:p w:rsidR="00F517A7" w:rsidRDefault="00FE1F1A">
      <w:pPr>
        <w:pStyle w:val="a3"/>
        <w:spacing w:before="1" w:line="276" w:lineRule="auto"/>
        <w:ind w:left="929" w:right="3833"/>
        <w:jc w:val="left"/>
      </w:pPr>
      <w:r>
        <w:t>ВОЗ – Всемирная Организация Здравоохранения ВИЧ – вирус иммунодефицита человека</w:t>
      </w:r>
    </w:p>
    <w:p w:rsidR="00F517A7" w:rsidRDefault="00FE1F1A">
      <w:pPr>
        <w:pStyle w:val="a3"/>
        <w:spacing w:line="276" w:lineRule="auto"/>
        <w:ind w:left="929" w:right="1489"/>
        <w:jc w:val="left"/>
      </w:pPr>
      <w:r>
        <w:t>АКДС – адсорбированная коклюшно-дифтерийно-столбнячная вакцина ИПВ – инактивированная полиомиелитная вакцина</w:t>
      </w:r>
    </w:p>
    <w:p w:rsidR="00F517A7" w:rsidRDefault="00FE1F1A">
      <w:pPr>
        <w:pStyle w:val="a3"/>
        <w:ind w:left="929"/>
        <w:jc w:val="left"/>
      </w:pPr>
      <w:r>
        <w:t>ОПВ – оральная полиомиелитная вакцина</w:t>
      </w:r>
    </w:p>
    <w:p w:rsidR="00F517A7" w:rsidRDefault="00FE1F1A">
      <w:pPr>
        <w:pStyle w:val="a3"/>
        <w:spacing w:before="46" w:line="271" w:lineRule="auto"/>
        <w:ind w:left="929" w:right="1803"/>
        <w:jc w:val="left"/>
      </w:pPr>
      <w:r>
        <w:t xml:space="preserve">БЦЖ (Bacillus Calmette—Guérin, BCG) </w:t>
      </w:r>
      <w:r>
        <w:rPr>
          <w:rFonts w:ascii="Calibri" w:hAnsi="Calibri"/>
          <w:sz w:val="22"/>
        </w:rPr>
        <w:t xml:space="preserve">- </w:t>
      </w:r>
      <w:r>
        <w:t>вакцина против туберкулеза ЦНС – центральная нервная система</w:t>
      </w:r>
    </w:p>
    <w:p w:rsidR="00F517A7" w:rsidRDefault="00FE1F1A">
      <w:pPr>
        <w:pStyle w:val="a3"/>
        <w:spacing w:before="5" w:line="278" w:lineRule="auto"/>
        <w:ind w:left="929" w:right="4626"/>
        <w:jc w:val="left"/>
      </w:pPr>
      <w:r>
        <w:t>ОРЗ – острое респираторное заболевание ОЛЛ – острый лимфобластный лейкоз</w:t>
      </w:r>
    </w:p>
    <w:p w:rsidR="00F517A7" w:rsidRDefault="00F517A7">
      <w:pPr>
        <w:spacing w:line="278" w:lineRule="auto"/>
        <w:sectPr w:rsidR="00F517A7">
          <w:pgSz w:w="11910" w:h="16840"/>
          <w:pgMar w:top="1580" w:right="620" w:bottom="1200" w:left="1480" w:header="0" w:footer="925" w:gutter="0"/>
          <w:cols w:space="720"/>
        </w:sectPr>
      </w:pPr>
    </w:p>
    <w:p w:rsidR="00F517A7" w:rsidRDefault="00FE1F1A">
      <w:pPr>
        <w:pStyle w:val="3"/>
        <w:spacing w:before="72" w:line="276" w:lineRule="auto"/>
        <w:ind w:left="221" w:right="229" w:firstLine="708"/>
        <w:jc w:val="both"/>
      </w:pPr>
      <w:r>
        <w:lastRenderedPageBreak/>
        <w:t>Данные клинические рекомендации рассмотрены и утверждены на заседании Исполкома профессиональной ассоциации детских врачей Союз педиатров России на XVIII Конгрессе педиатров России «Актуальные проблемы педиатрии» 15 февраля 2015г.</w:t>
      </w:r>
    </w:p>
    <w:p w:rsidR="00F517A7" w:rsidRDefault="00F517A7">
      <w:pPr>
        <w:pStyle w:val="a3"/>
        <w:spacing w:before="6"/>
        <w:ind w:left="0"/>
        <w:jc w:val="left"/>
        <w:rPr>
          <w:b/>
          <w:sz w:val="27"/>
        </w:rPr>
      </w:pPr>
    </w:p>
    <w:p w:rsidR="00F517A7" w:rsidRDefault="00FE1F1A">
      <w:pPr>
        <w:ind w:left="929"/>
        <w:rPr>
          <w:b/>
          <w:sz w:val="24"/>
        </w:rPr>
      </w:pPr>
      <w:r>
        <w:rPr>
          <w:b/>
          <w:sz w:val="24"/>
        </w:rPr>
        <w:t>Рабочая группа:</w:t>
      </w:r>
    </w:p>
    <w:p w:rsidR="00F517A7" w:rsidRDefault="00F517A7">
      <w:pPr>
        <w:pStyle w:val="a3"/>
        <w:spacing w:before="3"/>
        <w:ind w:left="0"/>
        <w:jc w:val="left"/>
        <w:rPr>
          <w:b/>
          <w:sz w:val="31"/>
        </w:rPr>
      </w:pPr>
    </w:p>
    <w:p w:rsidR="00F517A7" w:rsidRDefault="00FE1F1A">
      <w:pPr>
        <w:tabs>
          <w:tab w:val="left" w:pos="2100"/>
          <w:tab w:val="left" w:pos="3992"/>
          <w:tab w:val="left" w:pos="5481"/>
          <w:tab w:val="left" w:pos="7102"/>
        </w:tabs>
        <w:spacing w:before="1" w:line="276" w:lineRule="auto"/>
        <w:ind w:left="221" w:right="232" w:firstLine="708"/>
        <w:rPr>
          <w:b/>
          <w:sz w:val="24"/>
        </w:rPr>
      </w:pPr>
      <w:r>
        <w:rPr>
          <w:b/>
          <w:sz w:val="24"/>
        </w:rPr>
        <w:t>Авторы</w:t>
      </w:r>
      <w:r>
        <w:rPr>
          <w:b/>
          <w:sz w:val="24"/>
        </w:rPr>
        <w:tab/>
      </w:r>
      <w:r>
        <w:rPr>
          <w:b/>
          <w:sz w:val="24"/>
        </w:rPr>
        <w:t>подтверждают</w:t>
      </w:r>
      <w:r>
        <w:rPr>
          <w:b/>
          <w:sz w:val="24"/>
        </w:rPr>
        <w:tab/>
        <w:t>отсутствие</w:t>
      </w:r>
      <w:r>
        <w:rPr>
          <w:b/>
          <w:sz w:val="24"/>
        </w:rPr>
        <w:tab/>
        <w:t>финансовой</w:t>
      </w:r>
      <w:r>
        <w:rPr>
          <w:b/>
          <w:sz w:val="24"/>
        </w:rPr>
        <w:tab/>
        <w:t>поддержки/конфликта интересов, который необходимо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обнародовать.</w:t>
      </w:r>
    </w:p>
    <w:p w:rsidR="00F517A7" w:rsidRDefault="00F517A7">
      <w:pPr>
        <w:pStyle w:val="a3"/>
        <w:spacing w:before="1"/>
        <w:ind w:left="0"/>
        <w:jc w:val="left"/>
        <w:rPr>
          <w:b/>
          <w:sz w:val="26"/>
        </w:rPr>
      </w:pPr>
    </w:p>
    <w:p w:rsidR="00F517A7" w:rsidRDefault="00FE1F1A">
      <w:pPr>
        <w:pStyle w:val="1"/>
      </w:pPr>
      <w:bookmarkStart w:id="1" w:name="_TOC_250009"/>
      <w:bookmarkEnd w:id="1"/>
      <w:r>
        <w:t>МЕТОДОЛОГИЯ</w:t>
      </w:r>
    </w:p>
    <w:p w:rsidR="00F517A7" w:rsidRDefault="00FE1F1A">
      <w:pPr>
        <w:pStyle w:val="a3"/>
        <w:tabs>
          <w:tab w:val="left" w:pos="1730"/>
          <w:tab w:val="left" w:pos="3227"/>
          <w:tab w:val="left" w:pos="3900"/>
          <w:tab w:val="left" w:pos="5617"/>
          <w:tab w:val="left" w:pos="7108"/>
          <w:tab w:val="left" w:pos="8753"/>
        </w:tabs>
        <w:spacing w:before="57" w:line="278" w:lineRule="auto"/>
        <w:ind w:right="237" w:firstLine="708"/>
        <w:jc w:val="left"/>
      </w:pPr>
      <w:r>
        <w:t>При</w:t>
      </w:r>
      <w:r>
        <w:tab/>
        <w:t>разработке</w:t>
      </w:r>
      <w:r>
        <w:tab/>
        <w:t>КР</w:t>
      </w:r>
      <w:r>
        <w:tab/>
        <w:t>соблюдались</w:t>
      </w:r>
      <w:r>
        <w:tab/>
        <w:t>принципы,</w:t>
      </w:r>
      <w:r>
        <w:tab/>
        <w:t>являющиеся</w:t>
      </w:r>
      <w:r>
        <w:tab/>
      </w:r>
      <w:r>
        <w:rPr>
          <w:spacing w:val="-4"/>
        </w:rPr>
        <w:t xml:space="preserve">залогом </w:t>
      </w:r>
      <w:r>
        <w:t>высококачественных и надежных клинических</w:t>
      </w:r>
      <w:r>
        <w:rPr>
          <w:spacing w:val="-1"/>
        </w:rPr>
        <w:t xml:space="preserve"> </w:t>
      </w:r>
      <w:r>
        <w:t>рекомендаций.</w:t>
      </w:r>
    </w:p>
    <w:p w:rsidR="00F517A7" w:rsidRDefault="00FE1F1A">
      <w:pPr>
        <w:pStyle w:val="3"/>
      </w:pPr>
      <w:r>
        <w:t>Методы, использованные для сбора/селекции доказательств</w:t>
      </w:r>
    </w:p>
    <w:p w:rsidR="00F517A7" w:rsidRDefault="00FE1F1A">
      <w:pPr>
        <w:pStyle w:val="a3"/>
        <w:spacing w:before="36"/>
        <w:ind w:left="929"/>
        <w:jc w:val="left"/>
      </w:pPr>
      <w:r>
        <w:t>Поиск в электронных базах данных.</w:t>
      </w:r>
    </w:p>
    <w:p w:rsidR="00F517A7" w:rsidRDefault="00FE1F1A">
      <w:pPr>
        <w:pStyle w:val="3"/>
        <w:spacing w:before="46"/>
      </w:pPr>
      <w:r>
        <w:t>Описание методов, использованных для сбора/селекции доказательств</w:t>
      </w:r>
    </w:p>
    <w:p w:rsidR="00F517A7" w:rsidRDefault="00FE1F1A">
      <w:pPr>
        <w:pStyle w:val="a3"/>
        <w:spacing w:before="38" w:line="276" w:lineRule="auto"/>
        <w:ind w:right="226" w:firstLine="708"/>
      </w:pPr>
      <w:r>
        <w:t>Доказательной базой для публикации являются публикации, вошедшие в Кокрановскую библиотеку, базы дан</w:t>
      </w:r>
      <w:r>
        <w:t>ных EMBASE и MEDLINE. Глубина поиска составляла 5 лет.</w:t>
      </w:r>
    </w:p>
    <w:p w:rsidR="00F517A7" w:rsidRDefault="00FE1F1A">
      <w:pPr>
        <w:pStyle w:val="3"/>
        <w:spacing w:before="3"/>
      </w:pPr>
      <w:r>
        <w:t>Методы, использованные для оценки качества и силы доказательств</w:t>
      </w:r>
    </w:p>
    <w:p w:rsidR="00F517A7" w:rsidRDefault="00FE1F1A">
      <w:pPr>
        <w:pStyle w:val="a3"/>
        <w:spacing w:before="39"/>
        <w:ind w:left="929"/>
        <w:jc w:val="left"/>
      </w:pPr>
      <w:r>
        <w:t>Консенсус экспертов.</w:t>
      </w:r>
    </w:p>
    <w:p w:rsidR="00F517A7" w:rsidRDefault="00FE1F1A">
      <w:pPr>
        <w:pStyle w:val="a3"/>
        <w:spacing w:before="41"/>
        <w:ind w:left="929"/>
        <w:jc w:val="left"/>
      </w:pPr>
      <w:r>
        <w:t>Оценка значимости в соответствии с рейтинговой схемой (табл. 1).</w:t>
      </w:r>
    </w:p>
    <w:p w:rsidR="00F517A7" w:rsidRDefault="00FE1F1A">
      <w:pPr>
        <w:pStyle w:val="a3"/>
        <w:spacing w:before="38" w:after="9"/>
        <w:ind w:left="4344" w:right="215" w:firstLine="4132"/>
        <w:jc w:val="left"/>
      </w:pPr>
      <w:r>
        <w:t>Таблица 1. Рейтинговая схема для оценки силы рекоме</w:t>
      </w:r>
      <w:r>
        <w:t>ндации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983"/>
        <w:gridCol w:w="3260"/>
        <w:gridCol w:w="2094"/>
      </w:tblGrid>
      <w:tr w:rsidR="00F517A7">
        <w:trPr>
          <w:trHeight w:val="993"/>
        </w:trPr>
        <w:tc>
          <w:tcPr>
            <w:tcW w:w="2237" w:type="dxa"/>
          </w:tcPr>
          <w:p w:rsidR="00F517A7" w:rsidRDefault="00FE1F1A">
            <w:pPr>
              <w:pStyle w:val="TableParagraph"/>
              <w:spacing w:before="1" w:line="276" w:lineRule="auto"/>
              <w:ind w:right="786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достоверности рекомендаций</w:t>
            </w:r>
          </w:p>
        </w:tc>
        <w:tc>
          <w:tcPr>
            <w:tcW w:w="1983" w:type="dxa"/>
          </w:tcPr>
          <w:p w:rsidR="00F517A7" w:rsidRDefault="00FE1F1A">
            <w:pPr>
              <w:pStyle w:val="TableParagraph"/>
              <w:spacing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Соотношение риска и преимуществ</w:t>
            </w:r>
          </w:p>
        </w:tc>
        <w:tc>
          <w:tcPr>
            <w:tcW w:w="3260" w:type="dxa"/>
          </w:tcPr>
          <w:p w:rsidR="00F517A7" w:rsidRDefault="00FE1F1A">
            <w:pPr>
              <w:pStyle w:val="TableParagraph"/>
              <w:tabs>
                <w:tab w:val="left" w:pos="2401"/>
              </w:tabs>
              <w:spacing w:line="276" w:lineRule="auto"/>
              <w:ind w:right="102"/>
              <w:rPr>
                <w:sz w:val="20"/>
              </w:rPr>
            </w:pPr>
            <w:r>
              <w:rPr>
                <w:sz w:val="20"/>
              </w:rPr>
              <w:t>Методологическое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качество </w:t>
            </w:r>
            <w:r>
              <w:rPr>
                <w:sz w:val="20"/>
              </w:rPr>
              <w:t>имеющихся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</w:t>
            </w:r>
          </w:p>
        </w:tc>
        <w:tc>
          <w:tcPr>
            <w:tcW w:w="2094" w:type="dxa"/>
          </w:tcPr>
          <w:p w:rsidR="00F517A7" w:rsidRDefault="00FE1F1A">
            <w:pPr>
              <w:pStyle w:val="TableParagraph"/>
              <w:tabs>
                <w:tab w:val="left" w:pos="1772"/>
              </w:tabs>
              <w:spacing w:line="276" w:lineRule="auto"/>
              <w:ind w:left="106" w:right="104"/>
              <w:rPr>
                <w:sz w:val="20"/>
              </w:rPr>
            </w:pPr>
            <w:r>
              <w:rPr>
                <w:sz w:val="20"/>
              </w:rPr>
              <w:t>Пояснения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по </w:t>
            </w:r>
            <w:r>
              <w:rPr>
                <w:sz w:val="20"/>
              </w:rPr>
              <w:t>применению рекомендаций</w:t>
            </w:r>
          </w:p>
        </w:tc>
      </w:tr>
      <w:tr w:rsidR="00F517A7">
        <w:trPr>
          <w:trHeight w:val="3109"/>
        </w:trPr>
        <w:tc>
          <w:tcPr>
            <w:tcW w:w="2237" w:type="dxa"/>
          </w:tcPr>
          <w:p w:rsidR="00F517A7" w:rsidRDefault="00FE1F1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1А</w:t>
            </w:r>
          </w:p>
          <w:p w:rsidR="00F517A7" w:rsidRDefault="00F517A7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F517A7" w:rsidRDefault="00FE1F1A">
            <w:pPr>
              <w:pStyle w:val="TableParagraph"/>
              <w:tabs>
                <w:tab w:val="left" w:pos="1914"/>
              </w:tabs>
              <w:spacing w:line="276" w:lineRule="auto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Сильная рекомендация, основанная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4"/>
                <w:sz w:val="20"/>
              </w:rPr>
              <w:t xml:space="preserve">на </w:t>
            </w:r>
            <w:r>
              <w:rPr>
                <w:b/>
                <w:sz w:val="20"/>
              </w:rPr>
              <w:t>доказательствах высокого качества</w:t>
            </w:r>
          </w:p>
        </w:tc>
        <w:tc>
          <w:tcPr>
            <w:tcW w:w="1983" w:type="dxa"/>
          </w:tcPr>
          <w:p w:rsidR="00F517A7" w:rsidRDefault="00FE1F1A">
            <w:pPr>
              <w:pStyle w:val="TableParagraph"/>
              <w:tabs>
                <w:tab w:val="left" w:pos="1004"/>
                <w:tab w:val="left" w:pos="1572"/>
              </w:tabs>
              <w:spacing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Польза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отчетливо </w:t>
            </w:r>
            <w:r>
              <w:rPr>
                <w:sz w:val="20"/>
              </w:rPr>
              <w:t>превалирует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над</w:t>
            </w:r>
          </w:p>
          <w:p w:rsidR="00F517A7" w:rsidRDefault="00FE1F1A">
            <w:pPr>
              <w:pStyle w:val="TableParagraph"/>
              <w:tabs>
                <w:tab w:val="left" w:pos="1762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рисками</w:t>
            </w:r>
            <w:r>
              <w:rPr>
                <w:sz w:val="20"/>
              </w:rPr>
              <w:tab/>
              <w:t>и</w:t>
            </w:r>
          </w:p>
          <w:p w:rsidR="00F517A7" w:rsidRDefault="00FE1F1A">
            <w:pPr>
              <w:pStyle w:val="TableParagraph"/>
              <w:tabs>
                <w:tab w:val="left" w:pos="1462"/>
              </w:tabs>
              <w:spacing w:before="32"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затратами,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либо </w:t>
            </w:r>
            <w:r>
              <w:rPr>
                <w:sz w:val="20"/>
              </w:rPr>
              <w:t>наоборот</w:t>
            </w:r>
          </w:p>
        </w:tc>
        <w:tc>
          <w:tcPr>
            <w:tcW w:w="3260" w:type="dxa"/>
          </w:tcPr>
          <w:p w:rsidR="00F517A7" w:rsidRDefault="00FE1F1A">
            <w:pPr>
              <w:pStyle w:val="TableParagraph"/>
              <w:tabs>
                <w:tab w:val="left" w:pos="1708"/>
                <w:tab w:val="left" w:pos="1864"/>
                <w:tab w:val="left" w:pos="2495"/>
                <w:tab w:val="left" w:pos="2836"/>
              </w:tabs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Непротиворечивые доказательства, основанные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хорошо </w:t>
            </w:r>
            <w:r>
              <w:rPr>
                <w:sz w:val="20"/>
              </w:rPr>
              <w:t>выполненных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или </w:t>
            </w:r>
            <w:r>
              <w:rPr>
                <w:sz w:val="20"/>
              </w:rPr>
              <w:t>неопровержимые доказательства, представленные в какой-либо другой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  <w:p w:rsidR="00F517A7" w:rsidRDefault="00FE1F1A">
            <w:pPr>
              <w:pStyle w:val="TableParagraph"/>
              <w:spacing w:before="198"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Дальнейшие исследования вряд ли изменят нашу уверенность</w:t>
            </w:r>
            <w:r>
              <w:rPr>
                <w:sz w:val="20"/>
              </w:rPr>
              <w:t xml:space="preserve"> в оценке соотношения пользы </w:t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риска.</w:t>
            </w:r>
          </w:p>
        </w:tc>
        <w:tc>
          <w:tcPr>
            <w:tcW w:w="2094" w:type="dxa"/>
          </w:tcPr>
          <w:p w:rsidR="00F517A7" w:rsidRDefault="00FE1F1A">
            <w:pPr>
              <w:pStyle w:val="TableParagraph"/>
              <w:tabs>
                <w:tab w:val="left" w:pos="1440"/>
                <w:tab w:val="left" w:pos="1885"/>
              </w:tabs>
              <w:spacing w:line="276" w:lineRule="auto"/>
              <w:ind w:left="106" w:right="102"/>
              <w:rPr>
                <w:sz w:val="20"/>
              </w:rPr>
            </w:pPr>
            <w:r>
              <w:rPr>
                <w:sz w:val="20"/>
              </w:rPr>
              <w:t>Сильная рекомендация, которая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может </w:t>
            </w:r>
            <w:r>
              <w:rPr>
                <w:sz w:val="20"/>
              </w:rPr>
              <w:t>использоваться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большинстве случаев у</w:t>
            </w:r>
          </w:p>
          <w:p w:rsidR="00F517A7" w:rsidRDefault="00FE1F1A">
            <w:pPr>
              <w:pStyle w:val="TableParagraph"/>
              <w:tabs>
                <w:tab w:val="left" w:pos="734"/>
                <w:tab w:val="left" w:pos="1873"/>
              </w:tabs>
              <w:spacing w:line="276" w:lineRule="auto"/>
              <w:ind w:left="106" w:right="99"/>
              <w:rPr>
                <w:sz w:val="20"/>
              </w:rPr>
            </w:pPr>
            <w:r>
              <w:rPr>
                <w:sz w:val="20"/>
              </w:rPr>
              <w:t>преимущественного количества пациентов без каких- либо</w:t>
            </w:r>
            <w:r>
              <w:rPr>
                <w:sz w:val="20"/>
              </w:rPr>
              <w:tab/>
              <w:t>изменений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исключений</w:t>
            </w:r>
          </w:p>
        </w:tc>
      </w:tr>
    </w:tbl>
    <w:p w:rsidR="00F517A7" w:rsidRDefault="00F517A7">
      <w:pPr>
        <w:spacing w:line="276" w:lineRule="auto"/>
        <w:rPr>
          <w:sz w:val="20"/>
        </w:rPr>
        <w:sectPr w:rsidR="00F517A7">
          <w:pgSz w:w="11910" w:h="16840"/>
          <w:pgMar w:top="1500" w:right="620" w:bottom="1200" w:left="14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983"/>
        <w:gridCol w:w="3260"/>
        <w:gridCol w:w="2094"/>
      </w:tblGrid>
      <w:tr w:rsidR="00F517A7">
        <w:trPr>
          <w:trHeight w:val="3373"/>
        </w:trPr>
        <w:tc>
          <w:tcPr>
            <w:tcW w:w="2237" w:type="dxa"/>
          </w:tcPr>
          <w:p w:rsidR="00F517A7" w:rsidRDefault="00FE1F1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1В</w:t>
            </w:r>
          </w:p>
          <w:p w:rsidR="00F517A7" w:rsidRDefault="00F517A7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F517A7" w:rsidRDefault="00FE1F1A">
            <w:pPr>
              <w:pStyle w:val="TableParagraph"/>
              <w:tabs>
                <w:tab w:val="left" w:pos="1914"/>
              </w:tabs>
              <w:spacing w:line="276" w:lineRule="auto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Сильная рекомендация, основанная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4"/>
                <w:sz w:val="20"/>
              </w:rPr>
              <w:t xml:space="preserve">на </w:t>
            </w:r>
            <w:r>
              <w:rPr>
                <w:b/>
                <w:sz w:val="20"/>
              </w:rPr>
              <w:t>доказательствах умеренного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1983" w:type="dxa"/>
          </w:tcPr>
          <w:p w:rsidR="00F517A7" w:rsidRDefault="00FE1F1A">
            <w:pPr>
              <w:pStyle w:val="TableParagraph"/>
              <w:tabs>
                <w:tab w:val="left" w:pos="1004"/>
                <w:tab w:val="left" w:pos="1572"/>
              </w:tabs>
              <w:spacing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Польза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отчетливо </w:t>
            </w:r>
            <w:r>
              <w:rPr>
                <w:sz w:val="20"/>
              </w:rPr>
              <w:t>превалирует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над</w:t>
            </w:r>
          </w:p>
          <w:p w:rsidR="00F517A7" w:rsidRDefault="00FE1F1A">
            <w:pPr>
              <w:pStyle w:val="TableParagraph"/>
              <w:tabs>
                <w:tab w:val="left" w:pos="1762"/>
              </w:tabs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рисками</w:t>
            </w:r>
            <w:r>
              <w:rPr>
                <w:sz w:val="20"/>
              </w:rPr>
              <w:tab/>
              <w:t>и</w:t>
            </w:r>
          </w:p>
          <w:p w:rsidR="00F517A7" w:rsidRDefault="00FE1F1A">
            <w:pPr>
              <w:pStyle w:val="TableParagraph"/>
              <w:tabs>
                <w:tab w:val="left" w:pos="1462"/>
              </w:tabs>
              <w:spacing w:before="27"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затратами,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либо </w:t>
            </w:r>
            <w:r>
              <w:rPr>
                <w:sz w:val="20"/>
              </w:rPr>
              <w:t>наоборот</w:t>
            </w:r>
          </w:p>
        </w:tc>
        <w:tc>
          <w:tcPr>
            <w:tcW w:w="3260" w:type="dxa"/>
          </w:tcPr>
          <w:p w:rsidR="00F517A7" w:rsidRDefault="00FE1F1A">
            <w:pPr>
              <w:pStyle w:val="TableParagraph"/>
              <w:tabs>
                <w:tab w:val="left" w:pos="1834"/>
                <w:tab w:val="left" w:pos="2140"/>
                <w:tab w:val="left" w:pos="2430"/>
              </w:tabs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Доказательства, основанные на результатах РКИ, выполненных с некоторыми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ограничениями </w:t>
            </w:r>
            <w:r>
              <w:rPr>
                <w:sz w:val="20"/>
              </w:rPr>
              <w:t>(противоречивые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результаты, методологические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ошибки, косвенные или случайные и т.п.), либо других веских основаниях. Дальнейшие исследования (если они проводятся), вероятно, окажут влияние на нашу уверенность в оценке соотношения пользы </w:t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риска и могут изменить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ее.</w:t>
            </w:r>
          </w:p>
        </w:tc>
        <w:tc>
          <w:tcPr>
            <w:tcW w:w="2094" w:type="dxa"/>
          </w:tcPr>
          <w:p w:rsidR="00F517A7" w:rsidRDefault="00FE1F1A">
            <w:pPr>
              <w:pStyle w:val="TableParagraph"/>
              <w:tabs>
                <w:tab w:val="left" w:pos="1886"/>
              </w:tabs>
              <w:spacing w:line="276" w:lineRule="auto"/>
              <w:ind w:left="106" w:right="101"/>
              <w:rPr>
                <w:sz w:val="20"/>
              </w:rPr>
            </w:pPr>
            <w:r>
              <w:rPr>
                <w:sz w:val="20"/>
              </w:rPr>
              <w:t>Сильная рекомендация, применение ко</w:t>
            </w:r>
            <w:r>
              <w:rPr>
                <w:sz w:val="20"/>
              </w:rPr>
              <w:t>торой возможно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большинстве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</w:p>
        </w:tc>
      </w:tr>
      <w:tr w:rsidR="00F517A7">
        <w:trPr>
          <w:trHeight w:val="2315"/>
        </w:trPr>
        <w:tc>
          <w:tcPr>
            <w:tcW w:w="2237" w:type="dxa"/>
          </w:tcPr>
          <w:p w:rsidR="00F517A7" w:rsidRDefault="00FE1F1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1С</w:t>
            </w:r>
          </w:p>
          <w:p w:rsidR="00F517A7" w:rsidRDefault="00F517A7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F517A7" w:rsidRDefault="00FE1F1A">
            <w:pPr>
              <w:pStyle w:val="TableParagraph"/>
              <w:tabs>
                <w:tab w:val="left" w:pos="1914"/>
              </w:tabs>
              <w:spacing w:line="276" w:lineRule="auto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Сильная рекомендация, основанная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4"/>
                <w:sz w:val="20"/>
              </w:rPr>
              <w:t xml:space="preserve">на </w:t>
            </w:r>
            <w:r>
              <w:rPr>
                <w:b/>
                <w:sz w:val="20"/>
              </w:rPr>
              <w:t>доказательствах низкого качества</w:t>
            </w:r>
          </w:p>
        </w:tc>
        <w:tc>
          <w:tcPr>
            <w:tcW w:w="1983" w:type="dxa"/>
          </w:tcPr>
          <w:p w:rsidR="00F517A7" w:rsidRDefault="00FE1F1A">
            <w:pPr>
              <w:pStyle w:val="TableParagraph"/>
              <w:tabs>
                <w:tab w:val="left" w:pos="1052"/>
                <w:tab w:val="left" w:pos="1572"/>
                <w:tab w:val="left" w:pos="1762"/>
              </w:tabs>
              <w:spacing w:line="276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Польза,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вероятно, </w:t>
            </w:r>
            <w:r>
              <w:rPr>
                <w:sz w:val="20"/>
              </w:rPr>
              <w:t>будет превалировать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над </w:t>
            </w:r>
            <w:r>
              <w:rPr>
                <w:sz w:val="20"/>
              </w:rPr>
              <w:t>возможными рисками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и</w:t>
            </w:r>
          </w:p>
          <w:p w:rsidR="00F517A7" w:rsidRDefault="00FE1F1A">
            <w:pPr>
              <w:pStyle w:val="TableParagraph"/>
              <w:tabs>
                <w:tab w:val="left" w:pos="1462"/>
              </w:tabs>
              <w:spacing w:line="276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затратами,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либо </w:t>
            </w:r>
            <w:r>
              <w:rPr>
                <w:sz w:val="20"/>
              </w:rPr>
              <w:t>наоборот</w:t>
            </w:r>
          </w:p>
        </w:tc>
        <w:tc>
          <w:tcPr>
            <w:tcW w:w="3260" w:type="dxa"/>
          </w:tcPr>
          <w:p w:rsidR="00F517A7" w:rsidRDefault="00FE1F1A">
            <w:pPr>
              <w:pStyle w:val="TableParagraph"/>
              <w:tabs>
                <w:tab w:val="left" w:pos="1263"/>
                <w:tab w:val="left" w:pos="2440"/>
              </w:tabs>
              <w:spacing w:line="276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Доказательства, основанные на обсервационных исследованиях, бессистемном клиническом опыте, результатах РКИ, выполненных с существенными недостатками. Любая</w:t>
            </w:r>
            <w:r>
              <w:rPr>
                <w:sz w:val="20"/>
              </w:rPr>
              <w:tab/>
              <w:t>оценка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эффекта </w:t>
            </w:r>
            <w:r>
              <w:rPr>
                <w:sz w:val="20"/>
              </w:rPr>
              <w:t>расценивается как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неопределенная.</w:t>
            </w:r>
          </w:p>
        </w:tc>
        <w:tc>
          <w:tcPr>
            <w:tcW w:w="2094" w:type="dxa"/>
          </w:tcPr>
          <w:p w:rsidR="00F517A7" w:rsidRDefault="00FE1F1A">
            <w:pPr>
              <w:pStyle w:val="TableParagraph"/>
              <w:tabs>
                <w:tab w:val="left" w:pos="1498"/>
                <w:tab w:val="left" w:pos="1664"/>
              </w:tabs>
              <w:spacing w:line="276" w:lineRule="auto"/>
              <w:ind w:left="106" w:right="102"/>
              <w:rPr>
                <w:sz w:val="20"/>
              </w:rPr>
            </w:pPr>
            <w:r>
              <w:rPr>
                <w:sz w:val="20"/>
              </w:rPr>
              <w:t xml:space="preserve">Относительно сильная рекомендация, которая может </w:t>
            </w:r>
            <w:r>
              <w:rPr>
                <w:spacing w:val="-4"/>
                <w:sz w:val="20"/>
              </w:rPr>
              <w:t>б</w:t>
            </w:r>
            <w:r>
              <w:rPr>
                <w:spacing w:val="-4"/>
                <w:sz w:val="20"/>
              </w:rPr>
              <w:t xml:space="preserve">ыть </w:t>
            </w:r>
            <w:r>
              <w:rPr>
                <w:sz w:val="20"/>
              </w:rPr>
              <w:t>изменена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при </w:t>
            </w:r>
            <w:r>
              <w:rPr>
                <w:sz w:val="20"/>
              </w:rPr>
              <w:t>получении доказательств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более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качества.</w:t>
            </w:r>
          </w:p>
        </w:tc>
      </w:tr>
      <w:tr w:rsidR="00F517A7">
        <w:trPr>
          <w:trHeight w:val="3311"/>
        </w:trPr>
        <w:tc>
          <w:tcPr>
            <w:tcW w:w="2237" w:type="dxa"/>
          </w:tcPr>
          <w:p w:rsidR="00F517A7" w:rsidRDefault="00FE1F1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2А</w:t>
            </w:r>
          </w:p>
          <w:p w:rsidR="00F517A7" w:rsidRDefault="00F517A7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F517A7" w:rsidRDefault="00FE1F1A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Рекомендация низкой силы, основанная на доказательствах высокого качества</w:t>
            </w:r>
          </w:p>
        </w:tc>
        <w:tc>
          <w:tcPr>
            <w:tcW w:w="1983" w:type="dxa"/>
          </w:tcPr>
          <w:p w:rsidR="00F517A7" w:rsidRDefault="00FE1F1A">
            <w:pPr>
              <w:pStyle w:val="TableParagraph"/>
              <w:tabs>
                <w:tab w:val="left" w:pos="757"/>
                <w:tab w:val="left" w:pos="1762"/>
              </w:tabs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Польза сопоставима 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возможными </w:t>
            </w:r>
            <w:r>
              <w:rPr>
                <w:sz w:val="20"/>
              </w:rPr>
              <w:t>рисками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и</w:t>
            </w:r>
          </w:p>
          <w:p w:rsidR="00F517A7" w:rsidRDefault="00FE1F1A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затратами</w:t>
            </w:r>
          </w:p>
        </w:tc>
        <w:tc>
          <w:tcPr>
            <w:tcW w:w="3260" w:type="dxa"/>
          </w:tcPr>
          <w:p w:rsidR="00F517A7" w:rsidRDefault="00FE1F1A">
            <w:pPr>
              <w:pStyle w:val="TableParagraph"/>
              <w:tabs>
                <w:tab w:val="left" w:pos="1708"/>
                <w:tab w:val="left" w:pos="1816"/>
                <w:tab w:val="left" w:pos="1864"/>
                <w:tab w:val="left" w:pos="2423"/>
                <w:tab w:val="left" w:pos="2495"/>
                <w:tab w:val="left" w:pos="2836"/>
              </w:tabs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Надежные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доказательства, </w:t>
            </w:r>
            <w:r>
              <w:rPr>
                <w:sz w:val="20"/>
              </w:rPr>
              <w:t>основанные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хорошо </w:t>
            </w:r>
            <w:r>
              <w:rPr>
                <w:sz w:val="20"/>
              </w:rPr>
              <w:t>выполненных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или </w:t>
            </w:r>
            <w:r>
              <w:rPr>
                <w:sz w:val="20"/>
              </w:rPr>
              <w:t>подтвержденные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другими </w:t>
            </w:r>
            <w:r>
              <w:rPr>
                <w:sz w:val="20"/>
              </w:rPr>
              <w:t>неопровержимыми данными.</w:t>
            </w:r>
          </w:p>
          <w:p w:rsidR="00F517A7" w:rsidRDefault="00FE1F1A">
            <w:pPr>
              <w:pStyle w:val="TableParagraph"/>
              <w:spacing w:before="192"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Дальнейшие исследования вряд ли изменят нашу уверенность в оценке соотношения пользы </w:t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риска.</w:t>
            </w:r>
          </w:p>
        </w:tc>
        <w:tc>
          <w:tcPr>
            <w:tcW w:w="2094" w:type="dxa"/>
          </w:tcPr>
          <w:p w:rsidR="00F517A7" w:rsidRDefault="00FE1F1A">
            <w:pPr>
              <w:pStyle w:val="TableParagraph"/>
              <w:spacing w:line="276" w:lineRule="auto"/>
              <w:ind w:left="106" w:right="201"/>
              <w:rPr>
                <w:sz w:val="20"/>
              </w:rPr>
            </w:pPr>
            <w:r>
              <w:rPr>
                <w:sz w:val="20"/>
              </w:rPr>
              <w:t xml:space="preserve">Слабая </w:t>
            </w:r>
            <w:r>
              <w:rPr>
                <w:w w:val="95"/>
                <w:sz w:val="20"/>
              </w:rPr>
              <w:t>рекомендация.</w:t>
            </w:r>
          </w:p>
          <w:p w:rsidR="00F517A7" w:rsidRDefault="00FE1F1A">
            <w:pPr>
              <w:pStyle w:val="TableParagraph"/>
              <w:tabs>
                <w:tab w:val="left" w:pos="1029"/>
                <w:tab w:val="left" w:pos="1499"/>
              </w:tabs>
              <w:spacing w:before="191" w:line="278" w:lineRule="auto"/>
              <w:ind w:left="106" w:right="102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наилучшей </w:t>
            </w:r>
            <w:r>
              <w:rPr>
                <w:sz w:val="20"/>
              </w:rPr>
              <w:t>тактики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будет</w:t>
            </w:r>
          </w:p>
          <w:p w:rsidR="00F517A7" w:rsidRDefault="00FE1F1A">
            <w:pPr>
              <w:pStyle w:val="TableParagraph"/>
              <w:tabs>
                <w:tab w:val="left" w:pos="1792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зависеть</w:t>
            </w:r>
            <w:r>
              <w:rPr>
                <w:sz w:val="20"/>
              </w:rPr>
              <w:tab/>
              <w:t>от</w:t>
            </w:r>
          </w:p>
          <w:p w:rsidR="00F517A7" w:rsidRDefault="00FE1F1A">
            <w:pPr>
              <w:pStyle w:val="TableParagraph"/>
              <w:tabs>
                <w:tab w:val="left" w:pos="1666"/>
              </w:tabs>
              <w:spacing w:before="34" w:line="276" w:lineRule="auto"/>
              <w:ind w:left="106" w:right="102"/>
              <w:rPr>
                <w:sz w:val="20"/>
              </w:rPr>
            </w:pPr>
            <w:r>
              <w:rPr>
                <w:sz w:val="20"/>
              </w:rPr>
              <w:t>клинической ситуации (обстоятельств), пациента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или </w:t>
            </w:r>
            <w:r>
              <w:rPr>
                <w:sz w:val="20"/>
              </w:rPr>
              <w:t>социальных предпочтений.</w:t>
            </w:r>
          </w:p>
        </w:tc>
      </w:tr>
      <w:tr w:rsidR="00F517A7">
        <w:trPr>
          <w:trHeight w:val="4365"/>
        </w:trPr>
        <w:tc>
          <w:tcPr>
            <w:tcW w:w="2237" w:type="dxa"/>
          </w:tcPr>
          <w:p w:rsidR="00F517A7" w:rsidRDefault="00FE1F1A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2В</w:t>
            </w:r>
          </w:p>
          <w:p w:rsidR="00F517A7" w:rsidRDefault="00F517A7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F517A7" w:rsidRDefault="00FE1F1A">
            <w:pPr>
              <w:pStyle w:val="TableParagraph"/>
              <w:tabs>
                <w:tab w:val="left" w:pos="1914"/>
              </w:tabs>
              <w:spacing w:line="276" w:lineRule="auto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Слабая рекомендация, основанная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4"/>
                <w:sz w:val="20"/>
              </w:rPr>
              <w:t xml:space="preserve">на </w:t>
            </w:r>
            <w:r>
              <w:rPr>
                <w:b/>
                <w:sz w:val="20"/>
              </w:rPr>
              <w:t>доказательствах умеренного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1983" w:type="dxa"/>
          </w:tcPr>
          <w:p w:rsidR="00F517A7" w:rsidRDefault="00FE1F1A">
            <w:pPr>
              <w:pStyle w:val="TableParagraph"/>
              <w:tabs>
                <w:tab w:val="left" w:pos="620"/>
                <w:tab w:val="left" w:pos="1047"/>
                <w:tab w:val="left" w:pos="1489"/>
                <w:tab w:val="left" w:pos="1761"/>
              </w:tabs>
              <w:spacing w:line="276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Польза сопоставима с</w:t>
            </w:r>
            <w:r>
              <w:rPr>
                <w:sz w:val="20"/>
              </w:rPr>
              <w:tab/>
              <w:t>рисками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осложнениями, однако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этой </w:t>
            </w:r>
            <w:r>
              <w:rPr>
                <w:sz w:val="20"/>
              </w:rPr>
              <w:t>оценке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есть </w:t>
            </w:r>
            <w:r>
              <w:rPr>
                <w:sz w:val="20"/>
              </w:rPr>
              <w:t>неопределенность.</w:t>
            </w:r>
          </w:p>
        </w:tc>
        <w:tc>
          <w:tcPr>
            <w:tcW w:w="3260" w:type="dxa"/>
          </w:tcPr>
          <w:p w:rsidR="00F517A7" w:rsidRDefault="00FE1F1A">
            <w:pPr>
              <w:pStyle w:val="TableParagraph"/>
              <w:tabs>
                <w:tab w:val="left" w:pos="1816"/>
                <w:tab w:val="left" w:pos="2140"/>
                <w:tab w:val="left" w:pos="2370"/>
              </w:tabs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Доказательства, основанные на результатах РКИ, выполненных с существенными ограничениями (противоречивые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результаты, методологические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дефекты, </w:t>
            </w:r>
            <w:r>
              <w:rPr>
                <w:sz w:val="20"/>
              </w:rPr>
              <w:t>косвенные или случайные), или сильные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доказательства, </w:t>
            </w:r>
            <w:r>
              <w:rPr>
                <w:sz w:val="20"/>
              </w:rPr>
              <w:t>представленные в какой-либо другой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  <w:p w:rsidR="00F517A7" w:rsidRDefault="00FE1F1A">
            <w:pPr>
              <w:pStyle w:val="TableParagraph"/>
              <w:spacing w:before="190"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Дальнейшие исследования (если они проводятся), скорее всего, окажут влияние на нашу уверенность в оценке соотношения пользы и риска и могут изменить ее.</w:t>
            </w:r>
          </w:p>
        </w:tc>
        <w:tc>
          <w:tcPr>
            <w:tcW w:w="2094" w:type="dxa"/>
          </w:tcPr>
          <w:p w:rsidR="00F517A7" w:rsidRDefault="00FE1F1A">
            <w:pPr>
              <w:pStyle w:val="TableParagraph"/>
              <w:spacing w:line="276" w:lineRule="auto"/>
              <w:ind w:left="106" w:right="201"/>
              <w:rPr>
                <w:sz w:val="20"/>
              </w:rPr>
            </w:pPr>
            <w:r>
              <w:rPr>
                <w:sz w:val="20"/>
              </w:rPr>
              <w:t xml:space="preserve">Слабая </w:t>
            </w:r>
            <w:r>
              <w:rPr>
                <w:w w:val="95"/>
                <w:sz w:val="20"/>
              </w:rPr>
              <w:t>рекомендация.</w:t>
            </w:r>
          </w:p>
          <w:p w:rsidR="00F517A7" w:rsidRDefault="00FE1F1A">
            <w:pPr>
              <w:pStyle w:val="TableParagraph"/>
              <w:tabs>
                <w:tab w:val="left" w:pos="1886"/>
              </w:tabs>
              <w:spacing w:before="189" w:line="278" w:lineRule="auto"/>
              <w:ind w:left="106" w:right="101"/>
              <w:rPr>
                <w:sz w:val="20"/>
              </w:rPr>
            </w:pPr>
            <w:r>
              <w:rPr>
                <w:sz w:val="20"/>
              </w:rPr>
              <w:t>Альтернативная тактика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в</w:t>
            </w:r>
          </w:p>
          <w:p w:rsidR="00F517A7" w:rsidRDefault="00FE1F1A">
            <w:pPr>
              <w:pStyle w:val="TableParagraph"/>
              <w:tabs>
                <w:tab w:val="left" w:pos="1436"/>
                <w:tab w:val="left" w:pos="1686"/>
              </w:tabs>
              <w:spacing w:line="276" w:lineRule="auto"/>
              <w:ind w:left="106" w:right="102"/>
              <w:rPr>
                <w:sz w:val="20"/>
              </w:rPr>
            </w:pPr>
            <w:r>
              <w:rPr>
                <w:sz w:val="20"/>
              </w:rPr>
              <w:t>определенных ситуациях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может </w:t>
            </w:r>
            <w:r>
              <w:rPr>
                <w:sz w:val="20"/>
              </w:rPr>
              <w:t>явиться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для </w:t>
            </w:r>
            <w:r>
              <w:rPr>
                <w:sz w:val="20"/>
              </w:rPr>
              <w:t xml:space="preserve">некоторых </w:t>
            </w:r>
            <w:r>
              <w:rPr>
                <w:spacing w:val="-3"/>
                <w:sz w:val="20"/>
              </w:rPr>
              <w:t>пацие</w:t>
            </w:r>
            <w:r>
              <w:rPr>
                <w:spacing w:val="-3"/>
                <w:sz w:val="20"/>
              </w:rPr>
              <w:t xml:space="preserve">нтов </w:t>
            </w:r>
            <w:r>
              <w:rPr>
                <w:sz w:val="20"/>
              </w:rPr>
              <w:t>лучшим выбором.</w:t>
            </w:r>
          </w:p>
        </w:tc>
      </w:tr>
    </w:tbl>
    <w:p w:rsidR="00F517A7" w:rsidRDefault="00F517A7">
      <w:pPr>
        <w:spacing w:line="276" w:lineRule="auto"/>
        <w:rPr>
          <w:sz w:val="20"/>
        </w:rPr>
        <w:sectPr w:rsidR="00F517A7">
          <w:pgSz w:w="11910" w:h="16840"/>
          <w:pgMar w:top="1120" w:right="620" w:bottom="1120" w:left="14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983"/>
        <w:gridCol w:w="3260"/>
        <w:gridCol w:w="2094"/>
      </w:tblGrid>
      <w:tr w:rsidR="00F517A7">
        <w:trPr>
          <w:trHeight w:val="2845"/>
        </w:trPr>
        <w:tc>
          <w:tcPr>
            <w:tcW w:w="2237" w:type="dxa"/>
          </w:tcPr>
          <w:p w:rsidR="00F517A7" w:rsidRDefault="00FE1F1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2С</w:t>
            </w:r>
          </w:p>
          <w:p w:rsidR="00F517A7" w:rsidRDefault="00F517A7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F517A7" w:rsidRDefault="00FE1F1A">
            <w:pPr>
              <w:pStyle w:val="TableParagraph"/>
              <w:tabs>
                <w:tab w:val="left" w:pos="1914"/>
              </w:tabs>
              <w:spacing w:line="276" w:lineRule="auto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Слабая рекомендация, основанная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4"/>
                <w:sz w:val="20"/>
              </w:rPr>
              <w:t xml:space="preserve">на </w:t>
            </w:r>
            <w:r>
              <w:rPr>
                <w:b/>
                <w:sz w:val="20"/>
              </w:rPr>
              <w:t>доказательствах низкого качества</w:t>
            </w:r>
          </w:p>
        </w:tc>
        <w:tc>
          <w:tcPr>
            <w:tcW w:w="1983" w:type="dxa"/>
          </w:tcPr>
          <w:p w:rsidR="00F517A7" w:rsidRDefault="00FE1F1A">
            <w:pPr>
              <w:pStyle w:val="TableParagraph"/>
              <w:tabs>
                <w:tab w:val="left" w:pos="970"/>
                <w:tab w:val="left" w:pos="1455"/>
                <w:tab w:val="left" w:pos="1762"/>
              </w:tabs>
              <w:spacing w:line="276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 xml:space="preserve">Неоднозначность </w:t>
            </w:r>
            <w:r>
              <w:rPr>
                <w:spacing w:val="-12"/>
                <w:sz w:val="20"/>
              </w:rPr>
              <w:t xml:space="preserve">в </w:t>
            </w:r>
            <w:r>
              <w:rPr>
                <w:sz w:val="20"/>
              </w:rPr>
              <w:t>оценке  соотношения пользы,</w:t>
            </w:r>
            <w:r>
              <w:rPr>
                <w:sz w:val="20"/>
              </w:rPr>
              <w:tab/>
              <w:t>рисков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 xml:space="preserve">осложнений; </w:t>
            </w:r>
            <w:r>
              <w:rPr>
                <w:spacing w:val="-4"/>
                <w:sz w:val="20"/>
              </w:rPr>
              <w:t xml:space="preserve">польза </w:t>
            </w:r>
            <w:r>
              <w:rPr>
                <w:sz w:val="20"/>
              </w:rPr>
              <w:t>может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быть </w:t>
            </w:r>
            <w:r>
              <w:rPr>
                <w:sz w:val="20"/>
              </w:rPr>
              <w:t>сопоставима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с </w:t>
            </w:r>
            <w:r>
              <w:rPr>
                <w:sz w:val="20"/>
              </w:rPr>
              <w:t>возможными рисками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и</w:t>
            </w:r>
          </w:p>
          <w:p w:rsidR="00F517A7" w:rsidRDefault="00FE1F1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осложнениями.</w:t>
            </w:r>
          </w:p>
        </w:tc>
        <w:tc>
          <w:tcPr>
            <w:tcW w:w="3260" w:type="dxa"/>
          </w:tcPr>
          <w:p w:rsidR="00F517A7" w:rsidRDefault="00FE1F1A">
            <w:pPr>
              <w:pStyle w:val="TableParagraph"/>
              <w:tabs>
                <w:tab w:val="left" w:pos="1972"/>
              </w:tabs>
              <w:spacing w:line="27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Доказательства, основанные на обсервационных исследованиях, бессистемного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клинического </w:t>
            </w:r>
            <w:r>
              <w:rPr>
                <w:sz w:val="20"/>
              </w:rPr>
              <w:t>опыта или РКИ с существенными недостатками. Любая оценка эффекта расценивается как неопределенная.</w:t>
            </w:r>
          </w:p>
        </w:tc>
        <w:tc>
          <w:tcPr>
            <w:tcW w:w="2094" w:type="dxa"/>
          </w:tcPr>
          <w:p w:rsidR="00F517A7" w:rsidRDefault="00FE1F1A">
            <w:pPr>
              <w:pStyle w:val="TableParagraph"/>
              <w:tabs>
                <w:tab w:val="left" w:pos="1420"/>
                <w:tab w:val="left" w:pos="1885"/>
              </w:tabs>
              <w:spacing w:line="276" w:lineRule="auto"/>
              <w:ind w:left="106" w:right="102"/>
              <w:rPr>
                <w:sz w:val="20"/>
              </w:rPr>
            </w:pPr>
            <w:r>
              <w:rPr>
                <w:sz w:val="20"/>
              </w:rPr>
              <w:t>Очень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слабая </w:t>
            </w:r>
            <w:r>
              <w:rPr>
                <w:sz w:val="20"/>
              </w:rPr>
              <w:t xml:space="preserve">рекомендация; альтернативные подходы могут </w:t>
            </w:r>
            <w:r>
              <w:rPr>
                <w:spacing w:val="-4"/>
                <w:sz w:val="20"/>
              </w:rPr>
              <w:t xml:space="preserve">быть </w:t>
            </w:r>
            <w:r>
              <w:rPr>
                <w:sz w:val="20"/>
              </w:rPr>
              <w:t>использов</w:t>
            </w:r>
            <w:r>
              <w:rPr>
                <w:sz w:val="20"/>
              </w:rPr>
              <w:t>аны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равной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степени.</w:t>
            </w:r>
          </w:p>
        </w:tc>
      </w:tr>
    </w:tbl>
    <w:p w:rsidR="00F517A7" w:rsidRDefault="00F517A7">
      <w:pPr>
        <w:pStyle w:val="a3"/>
        <w:spacing w:before="11"/>
        <w:ind w:left="0"/>
        <w:jc w:val="left"/>
        <w:rPr>
          <w:sz w:val="18"/>
        </w:rPr>
      </w:pPr>
    </w:p>
    <w:p w:rsidR="00F517A7" w:rsidRDefault="00FE1F1A">
      <w:pPr>
        <w:pStyle w:val="3"/>
        <w:spacing w:before="90"/>
        <w:rPr>
          <w:b w:val="0"/>
        </w:rPr>
      </w:pPr>
      <w:r>
        <w:t>Методы, использованные для анализа</w:t>
      </w:r>
      <w:r>
        <w:rPr>
          <w:spacing w:val="-17"/>
        </w:rPr>
        <w:t xml:space="preserve"> </w:t>
      </w:r>
      <w:r>
        <w:t>доказательств</w:t>
      </w:r>
      <w:r>
        <w:rPr>
          <w:b w:val="0"/>
        </w:rPr>
        <w:t>:</w:t>
      </w:r>
    </w:p>
    <w:p w:rsidR="00F517A7" w:rsidRDefault="00FE1F1A">
      <w:pPr>
        <w:pStyle w:val="a4"/>
        <w:numPr>
          <w:ilvl w:val="0"/>
          <w:numId w:val="4"/>
        </w:numPr>
        <w:tabs>
          <w:tab w:val="left" w:pos="1289"/>
          <w:tab w:val="left" w:pos="1290"/>
        </w:tabs>
        <w:spacing w:before="42" w:line="293" w:lineRule="exact"/>
        <w:jc w:val="left"/>
        <w:rPr>
          <w:sz w:val="24"/>
        </w:rPr>
      </w:pPr>
      <w:r>
        <w:rPr>
          <w:sz w:val="24"/>
        </w:rPr>
        <w:t>Обзоры опубликованных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мета-анализов;</w:t>
      </w:r>
    </w:p>
    <w:p w:rsidR="00F517A7" w:rsidRDefault="00FE1F1A">
      <w:pPr>
        <w:pStyle w:val="a4"/>
        <w:numPr>
          <w:ilvl w:val="0"/>
          <w:numId w:val="4"/>
        </w:numPr>
        <w:tabs>
          <w:tab w:val="left" w:pos="1289"/>
          <w:tab w:val="left" w:pos="1290"/>
        </w:tabs>
        <w:spacing w:line="293" w:lineRule="exact"/>
        <w:jc w:val="left"/>
        <w:rPr>
          <w:sz w:val="24"/>
        </w:rPr>
      </w:pPr>
      <w:r>
        <w:rPr>
          <w:sz w:val="24"/>
        </w:rPr>
        <w:t>Систематические обзоры с таблицами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доказательств.</w:t>
      </w:r>
    </w:p>
    <w:p w:rsidR="00F517A7" w:rsidRDefault="00FE1F1A">
      <w:pPr>
        <w:pStyle w:val="3"/>
        <w:spacing w:before="4"/>
      </w:pPr>
      <w:r>
        <w:t>Описание методов, использованных для анализа доказательств</w:t>
      </w:r>
    </w:p>
    <w:p w:rsidR="00F517A7" w:rsidRDefault="00FE1F1A">
      <w:pPr>
        <w:pStyle w:val="a3"/>
        <w:spacing w:before="36" w:line="276" w:lineRule="auto"/>
        <w:ind w:right="230" w:firstLine="708"/>
      </w:pPr>
      <w:r>
        <w:t>С целью исключения влияния субъективного фактора и минимизации потенциальных ошибок каждое исследование оценивалось независимо, по меньшей мере, двумя независимыми членами рабочей группы. Какие-либо различия в оценках обсуждались всей группой в полном сост</w:t>
      </w:r>
      <w:r>
        <w:t>аве. При невозможности достижения консенсуса привлекался независимый эксперт.</w:t>
      </w:r>
    </w:p>
    <w:p w:rsidR="00F517A7" w:rsidRDefault="00FE1F1A">
      <w:pPr>
        <w:pStyle w:val="3"/>
        <w:spacing w:before="5"/>
      </w:pPr>
      <w:r>
        <w:t>Методы, использованные для формулирования рекомендаций</w:t>
      </w:r>
    </w:p>
    <w:p w:rsidR="00F517A7" w:rsidRDefault="00FE1F1A">
      <w:pPr>
        <w:pStyle w:val="a3"/>
        <w:spacing w:before="38"/>
        <w:ind w:left="929"/>
        <w:jc w:val="left"/>
      </w:pPr>
      <w:r>
        <w:t>Консенсус экспертов.</w:t>
      </w:r>
    </w:p>
    <w:p w:rsidR="00F517A7" w:rsidRDefault="00FE1F1A">
      <w:pPr>
        <w:pStyle w:val="3"/>
        <w:spacing w:before="46"/>
      </w:pPr>
      <w:r>
        <w:t>Метод валидации рекомендаций</w:t>
      </w:r>
    </w:p>
    <w:p w:rsidR="00F517A7" w:rsidRDefault="00FE1F1A">
      <w:pPr>
        <w:pStyle w:val="a4"/>
        <w:numPr>
          <w:ilvl w:val="0"/>
          <w:numId w:val="3"/>
        </w:numPr>
        <w:tabs>
          <w:tab w:val="left" w:pos="1069"/>
        </w:tabs>
        <w:spacing w:before="36"/>
        <w:ind w:hanging="139"/>
        <w:jc w:val="left"/>
        <w:rPr>
          <w:sz w:val="24"/>
        </w:rPr>
      </w:pPr>
      <w:r>
        <w:rPr>
          <w:sz w:val="24"/>
        </w:rPr>
        <w:t>Внешняя экспертная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</w:p>
    <w:p w:rsidR="00F517A7" w:rsidRDefault="00FE1F1A">
      <w:pPr>
        <w:pStyle w:val="a4"/>
        <w:numPr>
          <w:ilvl w:val="0"/>
          <w:numId w:val="3"/>
        </w:numPr>
        <w:tabs>
          <w:tab w:val="left" w:pos="1069"/>
        </w:tabs>
        <w:spacing w:before="41"/>
        <w:ind w:hanging="139"/>
        <w:jc w:val="left"/>
        <w:rPr>
          <w:sz w:val="24"/>
        </w:rPr>
      </w:pPr>
      <w:r>
        <w:rPr>
          <w:sz w:val="24"/>
        </w:rPr>
        <w:t>Внутренняя экспертная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</w:p>
    <w:p w:rsidR="00F517A7" w:rsidRDefault="00FE1F1A">
      <w:pPr>
        <w:pStyle w:val="3"/>
        <w:spacing w:before="48"/>
      </w:pPr>
      <w:r>
        <w:t>Описание метода валидации рекомендаций</w:t>
      </w:r>
    </w:p>
    <w:p w:rsidR="00F517A7" w:rsidRDefault="00FE1F1A">
      <w:pPr>
        <w:pStyle w:val="a3"/>
        <w:spacing w:before="36" w:line="276" w:lineRule="auto"/>
        <w:ind w:right="231" w:firstLine="708"/>
      </w:pPr>
      <w:r>
        <w:t>Представленные рекомендации в предварительной версии были рецензированы независимыми экспертами, установившими, что доказательства, лежащие в основе настоящих рекомендаций, доступны для понимания.</w:t>
      </w:r>
    </w:p>
    <w:p w:rsidR="00F517A7" w:rsidRDefault="00FE1F1A">
      <w:pPr>
        <w:pStyle w:val="a3"/>
        <w:spacing w:line="276" w:lineRule="auto"/>
        <w:ind w:right="233" w:firstLine="708"/>
      </w:pPr>
      <w:r>
        <w:t>С настоящими рекомен</w:t>
      </w:r>
      <w:r>
        <w:t>дациями ознакомлены педиатры, которые указали на доходчивость изложения и их важность, как рабочего инструмента повседневной практики.</w:t>
      </w:r>
    </w:p>
    <w:p w:rsidR="00F517A7" w:rsidRDefault="00FE1F1A">
      <w:pPr>
        <w:pStyle w:val="a3"/>
        <w:spacing w:line="276" w:lineRule="auto"/>
        <w:ind w:right="234" w:firstLine="708"/>
      </w:pPr>
      <w:r>
        <w:t>Все комментарии, полученные от экспертов, тщательно систематизировались и обсуждались председателем и членами рабочей гру</w:t>
      </w:r>
      <w:r>
        <w:t>ппы и, в случае необходимости, вносились поправки в клинические рекомендации.</w:t>
      </w:r>
    </w:p>
    <w:p w:rsidR="00F517A7" w:rsidRDefault="00FE1F1A">
      <w:pPr>
        <w:pStyle w:val="3"/>
        <w:spacing w:before="4"/>
      </w:pPr>
      <w:r>
        <w:t>Экономический анализ</w:t>
      </w:r>
    </w:p>
    <w:p w:rsidR="00F517A7" w:rsidRDefault="00FE1F1A">
      <w:pPr>
        <w:pStyle w:val="a3"/>
        <w:spacing w:before="36" w:line="276" w:lineRule="auto"/>
        <w:ind w:right="229" w:firstLine="708"/>
      </w:pPr>
      <w:r>
        <w:t>Анализ стоимости не проводился и публикации по фармакоэкономике не анализировались.</w:t>
      </w:r>
    </w:p>
    <w:p w:rsidR="00F517A7" w:rsidRDefault="00FE1F1A">
      <w:pPr>
        <w:pStyle w:val="3"/>
        <w:spacing w:before="6"/>
      </w:pPr>
      <w:r>
        <w:t>Консультация и экспертная оценка</w:t>
      </w:r>
    </w:p>
    <w:p w:rsidR="00F517A7" w:rsidRDefault="00FE1F1A">
      <w:pPr>
        <w:pStyle w:val="a3"/>
        <w:spacing w:before="36" w:line="276" w:lineRule="auto"/>
        <w:ind w:right="235" w:firstLine="708"/>
      </w:pPr>
      <w:r>
        <w:t>Последние изменения в настоящих рекомендациях были представлены для обсуждения в предварительной версии на совещании рабочей группы, Исполкома СПР и членов профильной комиссии в феврале 2015 года.</w:t>
      </w:r>
    </w:p>
    <w:p w:rsidR="00F517A7" w:rsidRDefault="00FE1F1A">
      <w:pPr>
        <w:pStyle w:val="a3"/>
        <w:spacing w:before="1" w:line="276" w:lineRule="auto"/>
        <w:ind w:right="234" w:firstLine="708"/>
      </w:pPr>
      <w:r>
        <w:t>Проект рекомендаций был рецензирован также независимыми экс</w:t>
      </w:r>
      <w:r>
        <w:t>пертами, которых попросили прокомментировать доходчивость и точность интерпретации доказательной базы, лежащей в основе рекомендаций.</w:t>
      </w:r>
    </w:p>
    <w:p w:rsidR="00F517A7" w:rsidRDefault="00FE1F1A">
      <w:pPr>
        <w:pStyle w:val="3"/>
        <w:spacing w:before="3"/>
      </w:pPr>
      <w:r>
        <w:t>Рабочая группа</w:t>
      </w:r>
    </w:p>
    <w:p w:rsidR="00F517A7" w:rsidRDefault="00F517A7">
      <w:pPr>
        <w:sectPr w:rsidR="00F517A7">
          <w:pgSz w:w="11910" w:h="16840"/>
          <w:pgMar w:top="1120" w:right="620" w:bottom="1120" w:left="1480" w:header="0" w:footer="925" w:gutter="0"/>
          <w:cols w:space="720"/>
        </w:sectPr>
      </w:pPr>
    </w:p>
    <w:p w:rsidR="00F517A7" w:rsidRDefault="00FE1F1A">
      <w:pPr>
        <w:pStyle w:val="a3"/>
        <w:spacing w:before="68" w:line="276" w:lineRule="auto"/>
        <w:ind w:right="230" w:firstLine="708"/>
      </w:pPr>
      <w:r>
        <w:lastRenderedPageBreak/>
        <w:t>Для окончательной редакции и контроля качества рекомендации были повторно проанализированы членами рабочей группы, которые пришли к заключению, что все замечания и комментарии экспертов приняты во внимание, риск систематической ошибки при разработке рекоме</w:t>
      </w:r>
      <w:r>
        <w:t>ндаций сведен к минимуму.</w:t>
      </w:r>
    </w:p>
    <w:p w:rsidR="00F517A7" w:rsidRDefault="00F517A7">
      <w:pPr>
        <w:spacing w:line="276" w:lineRule="auto"/>
        <w:sectPr w:rsidR="00F517A7">
          <w:pgSz w:w="11910" w:h="16840"/>
          <w:pgMar w:top="1040" w:right="620" w:bottom="1200" w:left="1480" w:header="0" w:footer="925" w:gutter="0"/>
          <w:cols w:space="720"/>
        </w:sectPr>
      </w:pPr>
    </w:p>
    <w:p w:rsidR="00F517A7" w:rsidRDefault="00FE1F1A">
      <w:pPr>
        <w:pStyle w:val="3"/>
        <w:spacing w:before="71"/>
        <w:ind w:left="221"/>
      </w:pPr>
      <w:bookmarkStart w:id="2" w:name="_TOC_250008"/>
      <w:bookmarkEnd w:id="2"/>
      <w:r>
        <w:lastRenderedPageBreak/>
        <w:t>ХАРАКТЕРИСТИКА ВОЗБУДИТЕЛЯ</w:t>
      </w:r>
    </w:p>
    <w:p w:rsidR="00F517A7" w:rsidRDefault="00FE1F1A">
      <w:pPr>
        <w:pStyle w:val="a3"/>
        <w:spacing w:before="180" w:line="276" w:lineRule="auto"/>
        <w:ind w:right="225" w:firstLine="768"/>
      </w:pPr>
      <w:r>
        <w:t xml:space="preserve">Возбудитель инфекции - </w:t>
      </w:r>
      <w:r>
        <w:rPr>
          <w:i/>
        </w:rPr>
        <w:t xml:space="preserve">Haemophilus influenzae </w:t>
      </w:r>
      <w:r>
        <w:t xml:space="preserve">- относится к семейству </w:t>
      </w:r>
      <w:r>
        <w:rPr>
          <w:i/>
        </w:rPr>
        <w:t xml:space="preserve">Pasteurellaceae </w:t>
      </w:r>
      <w:r>
        <w:t>и представляет собой маленькие (1 х 0,3 мкм) грамотрицательные полиморфные, неподвижные, неспорообр</w:t>
      </w:r>
      <w:r>
        <w:t>азующие палочки и/или коккобациллы. Различают капсулообразующие (капсулированные) и не образующие капсул (бескапсульные) штаммы гемофильной палочки. Они являются факультативными анаэробами и чрезвычайно требовательны к условиям культивирования: растут на</w:t>
      </w:r>
    </w:p>
    <w:p w:rsidR="00F517A7" w:rsidRDefault="00FE1F1A">
      <w:pPr>
        <w:pStyle w:val="a3"/>
        <w:spacing w:before="1" w:line="276" w:lineRule="auto"/>
        <w:ind w:right="224"/>
      </w:pPr>
      <w:r>
        <w:t>«</w:t>
      </w:r>
      <w:r>
        <w:t>шоколадном» агаре с обязательным содержанием двух основных факторов роста -  гемина (термостабильный фактор X) и никотинамидадениндинуклеотида (термолабильный фактор V) в строго определенных количествах. Факторы X и V находятся в крови (отсюда название род</w:t>
      </w:r>
      <w:r>
        <w:t>а «</w:t>
      </w:r>
      <w:r>
        <w:rPr>
          <w:i/>
        </w:rPr>
        <w:t>Haemophilus</w:t>
      </w:r>
      <w:r>
        <w:t xml:space="preserve">» - «любящие кровь»). Потребность бактерий в факторах X и V является важным критерием для внутривидовой идентификации </w:t>
      </w:r>
      <w:r>
        <w:rPr>
          <w:i/>
        </w:rPr>
        <w:t>Haemophilus</w:t>
      </w:r>
      <w:r>
        <w:rPr>
          <w:i/>
          <w:spacing w:val="1"/>
        </w:rPr>
        <w:t xml:space="preserve"> </w:t>
      </w:r>
      <w:r>
        <w:rPr>
          <w:i/>
        </w:rPr>
        <w:t>influenzae</w:t>
      </w:r>
      <w:r>
        <w:t>.</w:t>
      </w:r>
    </w:p>
    <w:p w:rsidR="00F517A7" w:rsidRDefault="00FE1F1A">
      <w:pPr>
        <w:pStyle w:val="a3"/>
        <w:spacing w:line="276" w:lineRule="auto"/>
        <w:ind w:right="228" w:firstLine="708"/>
      </w:pPr>
      <w:r>
        <w:t>Гемофильная палочка является представителем нормальной микрофлоры верхних дыхательных путей человека</w:t>
      </w:r>
      <w:r>
        <w:t xml:space="preserve">. Частота носительства этих бактерий среди здоровых людей может превышать 70% (в среднем, варьирует от 5 до 80%) и зависит от возраста человека, его окружения, географических и климатических условий, времени года. Вместе с тем, установлено, что </w:t>
      </w:r>
      <w:r>
        <w:rPr>
          <w:i/>
        </w:rPr>
        <w:t>Haemophilus</w:t>
      </w:r>
      <w:r>
        <w:rPr>
          <w:i/>
        </w:rPr>
        <w:t xml:space="preserve"> influenzae </w:t>
      </w:r>
      <w:r>
        <w:t>часто бывают возбудителями среднего отита, синусита, конъюнктивита, а также бронхолегочных заболеваний.</w:t>
      </w:r>
    </w:p>
    <w:p w:rsidR="00F517A7" w:rsidRDefault="00FE1F1A">
      <w:pPr>
        <w:pStyle w:val="a3"/>
        <w:spacing w:before="1" w:line="276" w:lineRule="auto"/>
        <w:ind w:right="224" w:firstLine="708"/>
      </w:pPr>
      <w:r>
        <w:t xml:space="preserve">Капсулированные штаммы </w:t>
      </w:r>
      <w:r>
        <w:rPr>
          <w:i/>
        </w:rPr>
        <w:t xml:space="preserve">Haemophilus influenzae </w:t>
      </w:r>
      <w:r>
        <w:t>могут быть подразделены на 6 серотипов в зависимости от антигенных свойств капсулы: a, b, c, d</w:t>
      </w:r>
      <w:r>
        <w:t>, e, f. Наличие капсулы имеет большое клиническое значение, так как она является основным фактором вирулентности. Кроме того, выработка протективных специфических антител в ходе развития инфекционного процесса или здорового носительства, а также в результа</w:t>
      </w:r>
      <w:r>
        <w:t xml:space="preserve">те вакцинации, происходит именно в отношении антигенов полисахаридной оболочки возбудителя. Большинство инвазивных инфекций вызывается штаммами </w:t>
      </w:r>
      <w:r>
        <w:rPr>
          <w:i/>
        </w:rPr>
        <w:t xml:space="preserve">H.influenzae </w:t>
      </w:r>
      <w:r>
        <w:t>типа b (</w:t>
      </w:r>
      <w:r>
        <w:rPr>
          <w:i/>
        </w:rPr>
        <w:t>Hib</w:t>
      </w:r>
      <w:r>
        <w:t xml:space="preserve">). Капсула </w:t>
      </w:r>
      <w:r>
        <w:rPr>
          <w:i/>
        </w:rPr>
        <w:t xml:space="preserve">Hib </w:t>
      </w:r>
      <w:r>
        <w:t>состоит из полирибозилрибитолфосфата (PRP), определяющего более высокую в</w:t>
      </w:r>
      <w:r>
        <w:t>ирулентность микроорганизма по сравнению с другими капсульными типами, так как защищает микроорганизм от фагоцитоза, опсонизации и комплемент - опосредованного лизиса.</w:t>
      </w:r>
    </w:p>
    <w:p w:rsidR="00F517A7" w:rsidRDefault="00FE1F1A">
      <w:pPr>
        <w:pStyle w:val="3"/>
        <w:spacing w:before="123"/>
      </w:pPr>
      <w:bookmarkStart w:id="3" w:name="_TOC_250007"/>
      <w:bookmarkEnd w:id="3"/>
      <w:r>
        <w:t>ПАТОГЕНЕЗ</w:t>
      </w:r>
    </w:p>
    <w:p w:rsidR="00F517A7" w:rsidRDefault="00FE1F1A">
      <w:pPr>
        <w:pStyle w:val="a3"/>
        <w:spacing w:before="156" w:line="276" w:lineRule="auto"/>
        <w:ind w:right="229" w:firstLine="708"/>
      </w:pPr>
      <w:r>
        <w:t xml:space="preserve">Гемофильная палочка типа b является патогеном исключительно для человека. Его </w:t>
      </w:r>
      <w:r>
        <w:t>передача происходит воздушно-капельным путем или при контакте с инфицированным материалом, как от бессимптомных носителей, так и от больных, но контагиозность невелика, в связи с чем заболевание не носит эпидемического характера.</w:t>
      </w:r>
    </w:p>
    <w:p w:rsidR="00F517A7" w:rsidRDefault="00FE1F1A">
      <w:pPr>
        <w:pStyle w:val="a3"/>
        <w:spacing w:line="276" w:lineRule="auto"/>
        <w:ind w:right="226" w:firstLine="708"/>
      </w:pPr>
      <w:r>
        <w:t>Бактерия локализуется на с</w:t>
      </w:r>
      <w:r>
        <w:t xml:space="preserve">лизистой носоглотки, и большинство носителей не имеют никаких клинических проявлений и могут распространять инфекцию воздушно- капельным путем. Только у небольшого числа лиц, контактировавших с возбудителем, в дальнейшем развиваются клинические проявления </w:t>
      </w:r>
      <w:r>
        <w:t>болезни. Именно носители являются важным источником распространения возбудителя.</w:t>
      </w:r>
    </w:p>
    <w:p w:rsidR="00F517A7" w:rsidRDefault="00F517A7">
      <w:pPr>
        <w:spacing w:line="276" w:lineRule="auto"/>
        <w:sectPr w:rsidR="00F517A7">
          <w:pgSz w:w="11910" w:h="16840"/>
          <w:pgMar w:top="1040" w:right="620" w:bottom="1200" w:left="1480" w:header="0" w:footer="925" w:gutter="0"/>
          <w:cols w:space="720"/>
        </w:sectPr>
      </w:pPr>
    </w:p>
    <w:p w:rsidR="00F517A7" w:rsidRDefault="00FE1F1A">
      <w:pPr>
        <w:pStyle w:val="3"/>
        <w:spacing w:before="73"/>
      </w:pPr>
      <w:bookmarkStart w:id="4" w:name="_TOC_250006"/>
      <w:r>
        <w:lastRenderedPageBreak/>
        <w:t>ЭПИДЕМИОЛОГИЯ И ОСОБЕННОСТИ КЛИНИЧЕСКИХ</w:t>
      </w:r>
      <w:r>
        <w:rPr>
          <w:spacing w:val="-24"/>
        </w:rPr>
        <w:t xml:space="preserve"> </w:t>
      </w:r>
      <w:bookmarkEnd w:id="4"/>
      <w:r>
        <w:t>ФОРМ</w:t>
      </w:r>
    </w:p>
    <w:p w:rsidR="00F517A7" w:rsidRDefault="00FE1F1A">
      <w:pPr>
        <w:pStyle w:val="a3"/>
        <w:spacing w:before="159" w:line="276" w:lineRule="auto"/>
        <w:ind w:right="224" w:firstLine="708"/>
      </w:pPr>
      <w:r>
        <w:t xml:space="preserve">Инфекция, вызываемая гемофильной палочкой типа b, широко распространена в мире [1]. Так, до введения вакцинации </w:t>
      </w:r>
      <w:r>
        <w:t>против гемофильной инфекции типа b частота заболеваний этой этиологии у детей до 5 лет достигала в США 60 – 130 на 100 000 детей,  в Австралии - 53, в Шотландии – 25,5 [2, 3, 4]. Гемофильная инфекция в спектре возбудителей острого гнойного менингита состав</w:t>
      </w:r>
      <w:r>
        <w:t>ляла, по различным оценкам, от 15,4 до 64% в зависимости от возраста, географического ареала, где проводились исследования и активности гемофильной палочки [5]. В исследованиях, проведенных в экономически развитых странах, установлено, что заболеваемость м</w:t>
      </w:r>
      <w:r>
        <w:t xml:space="preserve">енингитами, вызванными </w:t>
      </w:r>
      <w:r>
        <w:rPr>
          <w:i/>
        </w:rPr>
        <w:t>Hib</w:t>
      </w:r>
      <w:r>
        <w:t>, варьирует в диапазоне 8–60 случаев/100000 детей до 5 лет, заболеваемость всеми инвазивными болезнями в этой группе составляет 21–100 случаев/100000 детей. Особенно высока заболеваемость отдельных этнических групп населения, дост</w:t>
      </w:r>
      <w:r>
        <w:t>игая 460 среди аборигенов Австралии и 2960 у детей 1–года жизни коренных жителей</w:t>
      </w:r>
      <w:r>
        <w:rPr>
          <w:spacing w:val="-11"/>
        </w:rPr>
        <w:t xml:space="preserve"> </w:t>
      </w:r>
      <w:r>
        <w:t>Аляски.</w:t>
      </w:r>
    </w:p>
    <w:p w:rsidR="00F517A7" w:rsidRDefault="00FE1F1A">
      <w:pPr>
        <w:pStyle w:val="a3"/>
        <w:spacing w:line="276" w:lineRule="auto"/>
        <w:ind w:right="227" w:firstLine="708"/>
      </w:pPr>
      <w:r>
        <w:t xml:space="preserve">В 2000 г. до широкого внедрения специфической вакцинации гемофильная инфекция типа b была причиной 8,13 млн. случаев возникновения серьезного заболевания среди детей до 5-летнего возраста и 371 тыс. случаев смерти. К 2008 г., когда 136 государств внедрили </w:t>
      </w:r>
      <w:r>
        <w:t>вакцину, было зафиксировано уже 203 тыс. смертельных исходов вследствие гемофильной инфекции среди пациентов данной возрастной категории [5].</w:t>
      </w:r>
    </w:p>
    <w:p w:rsidR="00F517A7" w:rsidRDefault="00FE1F1A">
      <w:pPr>
        <w:pStyle w:val="a3"/>
        <w:spacing w:line="273" w:lineRule="auto"/>
        <w:ind w:right="226" w:firstLine="708"/>
      </w:pPr>
      <w:r>
        <w:t>Существует глобальная проблема растущей устойчивости микроорганизмов, и в том числе гемофильной палочки к антибакт</w:t>
      </w:r>
      <w:r>
        <w:t xml:space="preserve">ериальной терапии. Спектр антибиотикорезистентности </w:t>
      </w:r>
      <w:r>
        <w:rPr>
          <w:i/>
        </w:rPr>
        <w:t xml:space="preserve">Hib </w:t>
      </w:r>
      <w:r>
        <w:t xml:space="preserve">зависит как от географического места изоляции, так и от вида материала, из которого изолирован штамм (мазок из носоглотки, спинномозговая жидкость и др.). В России ситуация с устойчивостью </w:t>
      </w:r>
      <w:r>
        <w:rPr>
          <w:i/>
        </w:rPr>
        <w:t>H. influenz</w:t>
      </w:r>
      <w:r>
        <w:rPr>
          <w:i/>
        </w:rPr>
        <w:t xml:space="preserve">ae </w:t>
      </w:r>
      <w:r>
        <w:t>следующая: по результатам последнего исследования, проведенного за период 2004-2009 гг. в разных регионах РФ, отмечены высокие значения резистентности к ко-тримоксазолу, которая достигает 29,8% [6]. Около 3,8 % штаммов гемофильной палочки устойчивы к ам</w:t>
      </w:r>
      <w:r>
        <w:t xml:space="preserve">пициллину, 0,5% - к кларитромицину, по-прежнему остаются высокоактивны “защищенные” β-лактамы, хлорамфеникол, тетрациклины и респираторные фторхинолоны. Вероятность выделения патогенного микроогранизма, продуцирующего </w:t>
      </w:r>
      <w:r>
        <w:rPr>
          <w:spacing w:val="7"/>
          <w:position w:val="2"/>
        </w:rPr>
        <w:t>β</w:t>
      </w:r>
      <w:r>
        <w:rPr>
          <w:spacing w:val="7"/>
        </w:rPr>
        <w:t xml:space="preserve">- </w:t>
      </w:r>
      <w:r>
        <w:t>лактамазы, значительно повышается в</w:t>
      </w:r>
      <w:r>
        <w:t xml:space="preserve"> условиях недавно проведенного курса лечения незащищенными пенициллинами (в течение последних трех месяцев)</w:t>
      </w:r>
      <w:r>
        <w:rPr>
          <w:spacing w:val="-5"/>
        </w:rPr>
        <w:t xml:space="preserve"> </w:t>
      </w:r>
      <w:r>
        <w:t>[7].</w:t>
      </w:r>
    </w:p>
    <w:p w:rsidR="00F517A7" w:rsidRDefault="00FE1F1A">
      <w:pPr>
        <w:pStyle w:val="a3"/>
        <w:spacing w:before="15" w:line="276" w:lineRule="auto"/>
        <w:ind w:right="227" w:firstLine="708"/>
      </w:pPr>
      <w:r>
        <w:t xml:space="preserve">Различают "инвазивные" формы инфекции, вызванной </w:t>
      </w:r>
      <w:r>
        <w:rPr>
          <w:i/>
        </w:rPr>
        <w:t>Hib</w:t>
      </w:r>
      <w:r>
        <w:t>, при которых возбудитель обнаруживается в жидкостях и тканях организма, стерильных в норма</w:t>
      </w:r>
      <w:r>
        <w:t>льных условиях (кровь, спинномозговая жидкость, перитониальная и плевральная жидкости и т.п.), и "неинвазивные" формы, к которым относится "небактериемическая" пневмония (при отсутствии возбудителя в крови), ОРЗ (ринофарингит), конъюнктивит и т.п. Причем н</w:t>
      </w:r>
      <w:r>
        <w:t>а долю «неинвазивных» форм менингококковой инфекции приходится значительное число случаев в 5-10 раз больше в сравнение с гемофильным менингитом [8].</w:t>
      </w:r>
    </w:p>
    <w:p w:rsidR="00F517A7" w:rsidRDefault="00FE1F1A">
      <w:pPr>
        <w:pStyle w:val="a3"/>
        <w:spacing w:before="1" w:line="276" w:lineRule="auto"/>
        <w:ind w:right="231" w:firstLine="708"/>
      </w:pPr>
      <w:r>
        <w:t>К "инвазивным" формам гемофильной инфекции относятся пневмония, септицемия, эпиглоттит, септический артрит</w:t>
      </w:r>
      <w:r>
        <w:t>, остеомиелит, перикардит, эндокардит, целлюлит. Наиболее тяжелой и наиболее исследованной формой инфекции является гнойный бактериальный менингит. Выявление и диагностика иных форм инфекции гемофильной природы крайне</w:t>
      </w:r>
      <w:r>
        <w:rPr>
          <w:spacing w:val="-5"/>
        </w:rPr>
        <w:t xml:space="preserve"> </w:t>
      </w:r>
      <w:r>
        <w:t>затруднены.</w:t>
      </w:r>
    </w:p>
    <w:p w:rsidR="00F517A7" w:rsidRDefault="00FE1F1A">
      <w:pPr>
        <w:pStyle w:val="a3"/>
        <w:spacing w:line="276" w:lineRule="auto"/>
        <w:ind w:right="225" w:firstLine="708"/>
      </w:pPr>
      <w:r>
        <w:t>В настоящее время известно</w:t>
      </w:r>
      <w:r>
        <w:t xml:space="preserve"> более 20 различных клинических форм инфекции, вызванной </w:t>
      </w:r>
      <w:r>
        <w:rPr>
          <w:i/>
        </w:rPr>
        <w:t>Hib</w:t>
      </w:r>
      <w:r>
        <w:t>. Наиболее часто она обуславливает менингит, сепсис, эпиглоттит и</w:t>
      </w:r>
    </w:p>
    <w:p w:rsidR="00F517A7" w:rsidRDefault="00F517A7">
      <w:pPr>
        <w:spacing w:line="276" w:lineRule="auto"/>
        <w:sectPr w:rsidR="00F517A7">
          <w:pgSz w:w="11910" w:h="16840"/>
          <w:pgMar w:top="1040" w:right="620" w:bottom="1200" w:left="1480" w:header="0" w:footer="925" w:gutter="0"/>
          <w:cols w:space="720"/>
        </w:sectPr>
      </w:pPr>
    </w:p>
    <w:p w:rsidR="00F517A7" w:rsidRDefault="00FE1F1A">
      <w:pPr>
        <w:pStyle w:val="a3"/>
        <w:spacing w:before="68" w:line="276" w:lineRule="auto"/>
        <w:ind w:right="224"/>
      </w:pPr>
      <w:r>
        <w:lastRenderedPageBreak/>
        <w:t xml:space="preserve">пневмонию. Реже встречается целлюлит, фасциит, эндокардит и септический артрит. Экологической нишей для </w:t>
      </w:r>
      <w:r>
        <w:rPr>
          <w:i/>
        </w:rPr>
        <w:t xml:space="preserve">Hib </w:t>
      </w:r>
      <w:r>
        <w:t>в ма</w:t>
      </w:r>
      <w:r>
        <w:t>кроорганизме служит слизистая оболочка носоглотки. Установлено, что из входных ворот инфекции возбудитель способен лимфо– и гематогенно распространяться в другие органы и ткани. Именно за счет высокой способности к инвазии можно объяснить чрезвычайно разно</w:t>
      </w:r>
      <w:r>
        <w:t>образные по локализации и характеру осложнения, возникающие даже при острых респираторных заболеваниях (ОРЗ) гемофильной этиологии, которые регистрируются у 54,9 % больных.</w:t>
      </w:r>
    </w:p>
    <w:p w:rsidR="00F517A7" w:rsidRDefault="00FE1F1A">
      <w:pPr>
        <w:pStyle w:val="4"/>
        <w:spacing w:before="6"/>
      </w:pPr>
      <w:r>
        <w:t>Менингит</w:t>
      </w:r>
    </w:p>
    <w:p w:rsidR="00F517A7" w:rsidRDefault="00FE1F1A">
      <w:pPr>
        <w:pStyle w:val="a3"/>
        <w:spacing w:before="36" w:line="276" w:lineRule="auto"/>
        <w:ind w:right="231" w:firstLine="708"/>
        <w:jc w:val="right"/>
      </w:pPr>
      <w:r>
        <w:t>Среди инвазивных форм гемофильной инфекции типа b около 50% случаев</w:t>
      </w:r>
      <w:r>
        <w:rPr>
          <w:w w:val="99"/>
        </w:rPr>
        <w:t xml:space="preserve"> </w:t>
      </w:r>
      <w:r>
        <w:t>составляет именно менингит. Заболеваемость менингитом носит спорадический характер,</w:t>
      </w:r>
      <w:r>
        <w:t xml:space="preserve"> </w:t>
      </w:r>
      <w:r>
        <w:t>не отличается сезонными или циклическими подъемами и не имеет характерных вспышек.</w:t>
      </w:r>
    </w:p>
    <w:p w:rsidR="00F517A7" w:rsidRDefault="00FE1F1A">
      <w:pPr>
        <w:pStyle w:val="a3"/>
        <w:spacing w:before="1" w:line="276" w:lineRule="auto"/>
        <w:ind w:right="231" w:firstLine="708"/>
      </w:pPr>
      <w:r>
        <w:t>До внедрения массовой вакцинации средняя заболеваемость детей в возрасте до 5 лет менинги</w:t>
      </w:r>
      <w:r>
        <w:t>том гемофильной этиологии составляла 18 случаев на 100 тыс. в год, минимальная - 2 на 100 тыс. детей, максимальная – 60 случаев на 100 тыс. детей. Из всех случаев инвазивных форм гемофильной инфекции типа b среди детей до 5 лет на менингит приходилось в ср</w:t>
      </w:r>
      <w:r>
        <w:t>еднем 40% (от 12% до 73%)</w:t>
      </w:r>
      <w:r>
        <w:rPr>
          <w:spacing w:val="-3"/>
        </w:rPr>
        <w:t xml:space="preserve"> </w:t>
      </w:r>
      <w:r>
        <w:t>[9].</w:t>
      </w:r>
    </w:p>
    <w:p w:rsidR="00F517A7" w:rsidRDefault="00FE1F1A">
      <w:pPr>
        <w:pStyle w:val="a3"/>
        <w:spacing w:line="276" w:lineRule="auto"/>
        <w:ind w:right="228" w:firstLine="708"/>
      </w:pPr>
      <w:r>
        <w:t xml:space="preserve">Даже при своевременной диагностике и правильном лечении смертность от гемофильного менингита составляет около 5% (по данным зарубежных авторов), а по данным российских врачей, - до 20%. Наибольшее бремя менингитов, вызванных </w:t>
      </w:r>
      <w:r>
        <w:t>гемофильной палочкой типа b, несут дети, относящиеся к возрастной группе от 4 до 18 месяцев жизни, а также пожилые люди старше 65 лет. Дети младше 3 месяцев и старше 6 лет этим заболеванием страдают достаточно редко. У заболевших менингитом гемофильной эти</w:t>
      </w:r>
      <w:r>
        <w:t>ологии в возрасте старше 10 лет чаще всего выявляются тяжелые индивидуальные отягощающие факторы: анатомические (травмы черепа, назальная ликворея, spina bifida и др.) или иммунологические (дефициты компонентов системы комплемента и другие иммунодефициты).</w:t>
      </w:r>
      <w:r>
        <w:t xml:space="preserve"> У 15–30% переболевших сохраняются стойкие остаточные явления в виде нейросенсорной тугоухости, расстройства речи, умственной отсталости, задержки развития.</w:t>
      </w:r>
    </w:p>
    <w:p w:rsidR="00F517A7" w:rsidRDefault="00FE1F1A">
      <w:pPr>
        <w:pStyle w:val="4"/>
        <w:spacing w:before="4"/>
        <w:ind w:left="1049"/>
      </w:pPr>
      <w:r>
        <w:t>Пневмония</w:t>
      </w:r>
    </w:p>
    <w:p w:rsidR="00F517A7" w:rsidRDefault="00FE1F1A">
      <w:pPr>
        <w:pStyle w:val="a3"/>
        <w:spacing w:before="36" w:line="276" w:lineRule="auto"/>
        <w:ind w:right="224" w:firstLine="768"/>
      </w:pPr>
      <w:r>
        <w:t xml:space="preserve">В документах ВОЗ подчеркивается, что в среднем на 1 случай менингита, вызванного </w:t>
      </w:r>
      <w:r>
        <w:rPr>
          <w:i/>
        </w:rPr>
        <w:t>Hib</w:t>
      </w:r>
      <w:r>
        <w:t>, у детей в возрасте до 5 лет приходится 5–10 случаев острой внебольничной пневмонии указанной этиологии. В Европе заболеваемость гемофильной пневмонией до начала введения вакцинации составляла в среднем 150-300 случаев на 100 тыс. детей до 5 лет в год, то</w:t>
      </w:r>
      <w:r>
        <w:t xml:space="preserve"> есть в 10-20 раз больше, чем заболеваемость менингитом. На долю этого возбудителя всего приходилась почти треть бактериальных пневмоний среди детского населения. Можно отметить тяжесть течения и значительное число осложнений при пневмониях гемофильной эти</w:t>
      </w:r>
      <w:r>
        <w:t>ологии (у 58,3% больных) в виде перикардита, менингита и эмпиемы плевры, требующей плеврэктомии, причем наибольшее число заболевших наблюдались в возрасте 2 – 8 лет. Летальность в Европе составляла около 0,5%.</w:t>
      </w:r>
    </w:p>
    <w:p w:rsidR="00F517A7" w:rsidRDefault="00FE1F1A">
      <w:pPr>
        <w:pStyle w:val="a3"/>
        <w:spacing w:before="1" w:line="276" w:lineRule="auto"/>
        <w:ind w:right="225" w:firstLine="708"/>
      </w:pPr>
      <w:r>
        <w:t>По оценкам ВОЗ в Европе до введения вакцинопро</w:t>
      </w:r>
      <w:r>
        <w:t>филактики показатель заболеваемости другими инвазивными формами гемофильной инфекции типа b, помимо пневмонии и менингита, составлял от 3 до 10 случаев на 100 тыс. детей до 5 лет в год при летальности порядка 0,5% (около 40% от показателя заболеваемости ме</w:t>
      </w:r>
      <w:r>
        <w:t>нингитом гемофильной этиологии) [8].</w:t>
      </w:r>
    </w:p>
    <w:p w:rsidR="00F517A7" w:rsidRDefault="00F517A7">
      <w:pPr>
        <w:spacing w:line="276" w:lineRule="auto"/>
        <w:sectPr w:rsidR="00F517A7">
          <w:footerReference w:type="default" r:id="rId9"/>
          <w:pgSz w:w="11910" w:h="16840"/>
          <w:pgMar w:top="1040" w:right="620" w:bottom="1200" w:left="1480" w:header="0" w:footer="1005" w:gutter="0"/>
          <w:pgNumType w:start="10"/>
          <w:cols w:space="720"/>
        </w:sectPr>
      </w:pPr>
    </w:p>
    <w:p w:rsidR="00F517A7" w:rsidRDefault="00FE1F1A">
      <w:pPr>
        <w:pStyle w:val="4"/>
        <w:spacing w:before="73"/>
      </w:pPr>
      <w:r>
        <w:lastRenderedPageBreak/>
        <w:t>Эпиглоттит</w:t>
      </w:r>
    </w:p>
    <w:p w:rsidR="00F517A7" w:rsidRDefault="00FE1F1A">
      <w:pPr>
        <w:pStyle w:val="a3"/>
        <w:spacing w:before="39" w:line="276" w:lineRule="auto"/>
        <w:ind w:right="227" w:firstLine="768"/>
      </w:pPr>
      <w:r>
        <w:t xml:space="preserve">Острое воспаление надгортанника и преддверия гортани с обструкцией дыхательных путей – одна из самых тяжелых и стремительных инфекций, вызванных </w:t>
      </w:r>
      <w:r>
        <w:rPr>
          <w:i/>
        </w:rPr>
        <w:t>Hib</w:t>
      </w:r>
      <w:r>
        <w:t>. Эпиглотиттом чащ</w:t>
      </w:r>
      <w:r>
        <w:t>е болеют дети 2 – 7 лет. Смертность составляет 5–10%, причиной смерти всегда служит вовремя не устраненная обструкция дыхательных путей.</w:t>
      </w:r>
    </w:p>
    <w:p w:rsidR="00F517A7" w:rsidRDefault="00FE1F1A">
      <w:pPr>
        <w:pStyle w:val="4"/>
        <w:spacing w:before="5"/>
        <w:ind w:left="1049"/>
      </w:pPr>
      <w:r>
        <w:t>Артрит и остеомиелит</w:t>
      </w:r>
    </w:p>
    <w:p w:rsidR="00F517A7" w:rsidRDefault="00FE1F1A">
      <w:pPr>
        <w:pStyle w:val="a3"/>
        <w:spacing w:before="36" w:line="276" w:lineRule="auto"/>
        <w:ind w:right="230" w:firstLine="708"/>
      </w:pPr>
      <w:r>
        <w:t>В довакцинальную эпоху гемофильная палочка типа b была ведущим возбудителем гнойного артрита у дет</w:t>
      </w:r>
      <w:r>
        <w:t>ей младше 2 лет. Всего же на гнойный артрит приходится около 8% инвазивных инфекций, вызванных этим микроорганизмом. Гнойный артрит часто сочетается с менингитом.</w:t>
      </w:r>
    </w:p>
    <w:p w:rsidR="00F517A7" w:rsidRDefault="00FE1F1A">
      <w:pPr>
        <w:pStyle w:val="4"/>
        <w:spacing w:before="5"/>
      </w:pPr>
      <w:r>
        <w:t>Флегмона</w:t>
      </w:r>
    </w:p>
    <w:p w:rsidR="00F517A7" w:rsidRDefault="00FE1F1A">
      <w:pPr>
        <w:pStyle w:val="a3"/>
        <w:spacing w:before="36" w:line="276" w:lineRule="auto"/>
        <w:ind w:right="227" w:firstLine="768"/>
      </w:pPr>
      <w:r>
        <w:t>Самая частая локализация флегмон, обусловленных гемофильной инфекцией типа b, голова</w:t>
      </w:r>
      <w:r>
        <w:t xml:space="preserve"> и шея. Большинство случаев приходится на первые 2 года жизни.</w:t>
      </w:r>
    </w:p>
    <w:p w:rsidR="00F517A7" w:rsidRDefault="00FE1F1A">
      <w:pPr>
        <w:pStyle w:val="4"/>
        <w:spacing w:before="6"/>
      </w:pPr>
      <w:r>
        <w:t>Криптогенная бактериемия</w:t>
      </w:r>
    </w:p>
    <w:p w:rsidR="00F517A7" w:rsidRDefault="00FE1F1A">
      <w:pPr>
        <w:pStyle w:val="a3"/>
        <w:spacing w:before="36" w:line="276" w:lineRule="auto"/>
        <w:ind w:right="230" w:firstLine="708"/>
      </w:pPr>
      <w:r>
        <w:t xml:space="preserve">У большинства детей с бактериемией, вызванных </w:t>
      </w:r>
      <w:r>
        <w:rPr>
          <w:i/>
        </w:rPr>
        <w:t>Hib</w:t>
      </w:r>
      <w:r>
        <w:t>, имеется явный очаг инфекции. Иногда такого очага обнаружить не удается и единственным проявлением болезни служит лихо</w:t>
      </w:r>
      <w:r>
        <w:t xml:space="preserve">радка. Такая ситуация обычно встречается у детей младше 2 лет. До введения вакцинации </w:t>
      </w:r>
      <w:r>
        <w:rPr>
          <w:i/>
        </w:rPr>
        <w:t xml:space="preserve">Hib </w:t>
      </w:r>
      <w:r>
        <w:t xml:space="preserve">- был второй по частоте причиной криптогенной бактериемией, уступая только </w:t>
      </w:r>
      <w:r>
        <w:rPr>
          <w:i/>
        </w:rPr>
        <w:t>Streptococcus pneumoniae</w:t>
      </w:r>
      <w:r>
        <w:t xml:space="preserve">. Бактериемия, вызванная </w:t>
      </w:r>
      <w:r>
        <w:rPr>
          <w:i/>
        </w:rPr>
        <w:t>Hib</w:t>
      </w:r>
      <w:r>
        <w:t>, в 30–50% случаев осложняется вторичны</w:t>
      </w:r>
      <w:r>
        <w:t>ми очагами инфекции, включая менингит.</w:t>
      </w:r>
    </w:p>
    <w:p w:rsidR="00F517A7" w:rsidRDefault="00FE1F1A">
      <w:pPr>
        <w:pStyle w:val="4"/>
        <w:ind w:left="1049"/>
      </w:pPr>
      <w:r>
        <w:t>Перикардит</w:t>
      </w:r>
    </w:p>
    <w:p w:rsidR="00F517A7" w:rsidRDefault="00FE1F1A">
      <w:pPr>
        <w:pStyle w:val="a3"/>
        <w:spacing w:before="39" w:line="276" w:lineRule="auto"/>
        <w:ind w:right="224" w:firstLine="768"/>
      </w:pPr>
      <w:r>
        <w:t>Классическими проявлениями гемофильного типа b перикардита, являются интоксикация, лихорадка и дыхательная недостаточность у ребенка при отсутствии изменений в легких. Перикардиту могут сопутствовать пневмония и менингит, иногда поражение перикарда развива</w:t>
      </w:r>
      <w:r>
        <w:t>ется на фоне антибактериальной терапии.</w:t>
      </w:r>
    </w:p>
    <w:p w:rsidR="00F517A7" w:rsidRDefault="00FE1F1A">
      <w:pPr>
        <w:pStyle w:val="4"/>
        <w:spacing w:before="2"/>
        <w:ind w:left="929"/>
      </w:pPr>
      <w:r>
        <w:t>Инфекции новорожденных</w:t>
      </w:r>
    </w:p>
    <w:p w:rsidR="00F517A7" w:rsidRDefault="00FE1F1A">
      <w:pPr>
        <w:pStyle w:val="a3"/>
        <w:spacing w:before="39" w:line="276" w:lineRule="auto"/>
        <w:ind w:right="229" w:firstLine="768"/>
      </w:pPr>
      <w:r>
        <w:t>В последние годы у новорожденных участились случаи бактериемии и менингита гемофильной этиологии. Инфекция проявляется ранним сепсисом – более чем у  80% детей он развился на первой неделе жизн</w:t>
      </w:r>
      <w:r>
        <w:t>и. Не исключено внутриутробное заражение плода, поскольку данной форме инфекционной патологии часто сопутствует недоношенность, малый вес при рождении, а также осложнения у матери (преждевременное излитие околоплодных вод,</w:t>
      </w:r>
      <w:r>
        <w:rPr>
          <w:spacing w:val="-1"/>
        </w:rPr>
        <w:t xml:space="preserve"> </w:t>
      </w:r>
      <w:r>
        <w:t>хориоамнионит).</w:t>
      </w:r>
    </w:p>
    <w:p w:rsidR="00F517A7" w:rsidRDefault="00FE1F1A">
      <w:pPr>
        <w:pStyle w:val="4"/>
      </w:pPr>
      <w:r>
        <w:t>Другие инвазивные</w:t>
      </w:r>
      <w:r>
        <w:t xml:space="preserve"> инфекции</w:t>
      </w:r>
    </w:p>
    <w:p w:rsidR="00F517A7" w:rsidRDefault="00FE1F1A">
      <w:pPr>
        <w:pStyle w:val="a3"/>
        <w:spacing w:before="37" w:line="276" w:lineRule="auto"/>
        <w:ind w:right="231" w:firstLine="768"/>
      </w:pPr>
      <w:r>
        <w:t>В редких случаях бактериемия приводит к появлению таких вторичных очагов инфекции, как эндофтальмит, глоссит, увулит, тиреоидит, эндокардит, абсцесс легкого, эпидидимит, перитонит, абсцесс брюшной полости, поражение печени и желчных путей, абсцес</w:t>
      </w:r>
      <w:r>
        <w:t>с головного мозга.</w:t>
      </w:r>
    </w:p>
    <w:p w:rsidR="00F517A7" w:rsidRDefault="00FE1F1A">
      <w:pPr>
        <w:pStyle w:val="a3"/>
        <w:spacing w:line="276" w:lineRule="auto"/>
        <w:ind w:right="225" w:firstLine="708"/>
      </w:pPr>
      <w:r>
        <w:t>В связи с низким уровнем диагностики и регистрации гемофильной инфекции в Российской Федерации (РФ) данные ее статистического учета не отражают истинного уровня заболеваемости. Однако при условии адекватной лабораторной диагностики менин</w:t>
      </w:r>
      <w:r>
        <w:t>гит гемофильной этиологии в РФ выявляется повсеместно. В частности, показатель заболеваемости менингитом гемофильной этиологии характеризуется региональными различиями и варьирует от 5,1 до 9,7 случаев на 100 тыс. детей младше 5 лет [10]. В ряде регионов з</w:t>
      </w:r>
      <w:r>
        <w:t>аболеваемость превышает 15 случаев на 100 тыс. детей до 5 лет в год. При этом</w:t>
      </w:r>
    </w:p>
    <w:p w:rsidR="00F517A7" w:rsidRDefault="00F517A7">
      <w:pPr>
        <w:spacing w:line="276" w:lineRule="auto"/>
        <w:sectPr w:rsidR="00F517A7">
          <w:pgSz w:w="11910" w:h="16840"/>
          <w:pgMar w:top="1040" w:right="620" w:bottom="1200" w:left="1480" w:header="0" w:footer="1005" w:gutter="0"/>
          <w:cols w:space="720"/>
        </w:sectPr>
      </w:pPr>
    </w:p>
    <w:p w:rsidR="00F517A7" w:rsidRDefault="00FE1F1A">
      <w:pPr>
        <w:pStyle w:val="a3"/>
        <w:spacing w:before="68" w:line="278" w:lineRule="auto"/>
        <w:jc w:val="left"/>
      </w:pPr>
      <w:r>
        <w:lastRenderedPageBreak/>
        <w:t>лабораторная расшифровка этиологии гнойного менингита составляет в среднем от 28 до 64%.</w:t>
      </w:r>
    </w:p>
    <w:p w:rsidR="00F517A7" w:rsidRDefault="00FE1F1A">
      <w:pPr>
        <w:pStyle w:val="a3"/>
        <w:spacing w:line="276" w:lineRule="auto"/>
        <w:ind w:right="225" w:firstLine="708"/>
      </w:pPr>
      <w:r>
        <w:t>Заболеваемость пневмонией, вызванной гемофильной инфекцией типа b, в РФ</w:t>
      </w:r>
      <w:r>
        <w:t xml:space="preserve"> составляет не менее 150 на 100 тыс. детей первых 5 лет жизни в год или около 10 тыс. случаев в целом [11]. При летальности менингита в 5% и пневмонии в 0.5% такая заболеваемость должна приводить не менее чем к 80 летальным исходам от </w:t>
      </w:r>
      <w:r>
        <w:rPr>
          <w:i/>
        </w:rPr>
        <w:t xml:space="preserve">Hib </w:t>
      </w:r>
      <w:r>
        <w:t>в год.</w:t>
      </w:r>
    </w:p>
    <w:p w:rsidR="00F517A7" w:rsidRDefault="00FE1F1A">
      <w:pPr>
        <w:pStyle w:val="3"/>
        <w:spacing w:before="121"/>
      </w:pPr>
      <w:bookmarkStart w:id="5" w:name="_TOC_250005"/>
      <w:bookmarkEnd w:id="5"/>
      <w:r>
        <w:t>ДИАГНОСТИКА</w:t>
      </w:r>
    </w:p>
    <w:p w:rsidR="00F517A7" w:rsidRDefault="00FE1F1A">
      <w:pPr>
        <w:pStyle w:val="a3"/>
        <w:spacing w:before="156" w:line="276" w:lineRule="auto"/>
        <w:ind w:right="230" w:firstLine="708"/>
      </w:pPr>
      <w:r>
        <w:t xml:space="preserve">Главным методом диагностики заболеваний, вызванных </w:t>
      </w:r>
      <w:r>
        <w:rPr>
          <w:i/>
        </w:rPr>
        <w:t>Hib</w:t>
      </w:r>
      <w:r>
        <w:t>, остается культуральный - посев крови, спинномозговой жидкости (СМЖ) и другого материала из очагов инфекции (суставной, перикардиальной жидкости, гноя). При положительном посеве крови или п</w:t>
      </w:r>
      <w:r>
        <w:t>одозрении на менингит проводят люмбальную пункцию. Поскольку возбудитель очень требователен к условиям культивирования, посев проводят сразу при получении материала на адекватные среды, обеспечивающие рост возбудителя. Проводят микроскопию с окраской по Гр</w:t>
      </w:r>
      <w:r>
        <w:t>амму всех биологических жидкостей, которые могут содержать микроорганизм.</w:t>
      </w:r>
    </w:p>
    <w:p w:rsidR="00F517A7" w:rsidRDefault="00FE1F1A">
      <w:pPr>
        <w:pStyle w:val="a3"/>
        <w:spacing w:line="276" w:lineRule="auto"/>
        <w:ind w:right="224" w:firstLine="708"/>
      </w:pPr>
      <w:r>
        <w:t xml:space="preserve">В биологических жидкостях (сыворотке, моче, синовиальной жидкости, СМЖ) можно обнаружить капсульный полисахарид </w:t>
      </w:r>
      <w:r>
        <w:rPr>
          <w:i/>
        </w:rPr>
        <w:t>Hib</w:t>
      </w:r>
      <w:r>
        <w:t>. Для этого чаще всего применяют три метода: встречный иммуноэлектр</w:t>
      </w:r>
      <w:r>
        <w:t>офорез, латекс–агглюцинацию и реакцию коагглюцинации со стафилококковым протеином А. Также ДНК гемофильной палочки в образцах СМЖ можно выявить с помощью полимеразной цепной реакции (ПЦР).</w:t>
      </w:r>
    </w:p>
    <w:p w:rsidR="00F517A7" w:rsidRDefault="00FE1F1A">
      <w:pPr>
        <w:pStyle w:val="a3"/>
        <w:spacing w:line="276" w:lineRule="auto"/>
        <w:ind w:right="227" w:firstLine="708"/>
      </w:pPr>
      <w:r>
        <w:t>Поскольку классические бактериологические методы (посев образцов) д</w:t>
      </w:r>
      <w:r>
        <w:t>аже в условиях идеального применения способны обеспечить этиологическую расшифровку не более 40%-50% случаев бактериального менингита, необходимо их дополнение некультуральными методами, с помощью которых можно обеспечить расшифровку до 60- 80% (при примен</w:t>
      </w:r>
      <w:r>
        <w:t>ении реакции латекс-агглютинации) и до 80%-90% (при применении ПЦР) [10, 12].</w:t>
      </w:r>
    </w:p>
    <w:p w:rsidR="00F517A7" w:rsidRDefault="00FE1F1A">
      <w:pPr>
        <w:pStyle w:val="3"/>
        <w:spacing w:before="126"/>
      </w:pPr>
      <w:bookmarkStart w:id="6" w:name="_TOC_250004"/>
      <w:bookmarkEnd w:id="6"/>
      <w:r>
        <w:t>ПРОФИЛАКТИКА</w:t>
      </w:r>
    </w:p>
    <w:p w:rsidR="00F517A7" w:rsidRDefault="00FE1F1A">
      <w:pPr>
        <w:spacing w:before="156"/>
        <w:ind w:left="929"/>
        <w:rPr>
          <w:i/>
          <w:sz w:val="24"/>
        </w:rPr>
      </w:pPr>
      <w:r>
        <w:rPr>
          <w:i/>
          <w:sz w:val="24"/>
        </w:rPr>
        <w:t>Специфическая профилактика гемофильной инфекции типа b</w:t>
      </w:r>
    </w:p>
    <w:p w:rsidR="00F517A7" w:rsidRDefault="00FE1F1A">
      <w:pPr>
        <w:spacing w:before="41" w:line="276" w:lineRule="auto"/>
        <w:ind w:left="221" w:right="228" w:firstLine="708"/>
        <w:jc w:val="both"/>
        <w:rPr>
          <w:sz w:val="24"/>
        </w:rPr>
      </w:pPr>
      <w:r>
        <w:rPr>
          <w:sz w:val="24"/>
        </w:rPr>
        <w:t xml:space="preserve">Учитывая бремя данной инфекции, частоту бактерионосительства возбудителя, рост резистентности к антибиотикам, наличие осложненных форм, высокий уровень летальных исходов, становится понятной необходимость профилактики этой инфекции. </w:t>
      </w:r>
      <w:r>
        <w:rPr>
          <w:i/>
          <w:sz w:val="24"/>
          <w:u w:val="single"/>
        </w:rPr>
        <w:t>Единственным надежным с</w:t>
      </w:r>
      <w:r>
        <w:rPr>
          <w:i/>
          <w:sz w:val="24"/>
          <w:u w:val="single"/>
        </w:rPr>
        <w:t>редством специфической профилактики заболеваний,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вызванных гемофильной инфекцией типа b, является активная иммунизация</w:t>
      </w:r>
      <w:r>
        <w:rPr>
          <w:i/>
          <w:sz w:val="24"/>
        </w:rPr>
        <w:t xml:space="preserve"> </w:t>
      </w:r>
      <w:r>
        <w:rPr>
          <w:sz w:val="24"/>
        </w:rPr>
        <w:t xml:space="preserve">- </w:t>
      </w:r>
      <w:r>
        <w:rPr>
          <w:b/>
          <w:sz w:val="24"/>
        </w:rPr>
        <w:t>уровень доказательности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1А</w:t>
      </w:r>
      <w:r>
        <w:rPr>
          <w:sz w:val="24"/>
        </w:rPr>
        <w:t>.</w:t>
      </w:r>
    </w:p>
    <w:p w:rsidR="00F517A7" w:rsidRDefault="00FE1F1A">
      <w:pPr>
        <w:spacing w:before="1" w:line="276" w:lineRule="auto"/>
        <w:ind w:left="221" w:right="225" w:firstLine="768"/>
        <w:jc w:val="both"/>
        <w:rPr>
          <w:sz w:val="24"/>
        </w:rPr>
      </w:pPr>
      <w:r>
        <w:rPr>
          <w:sz w:val="24"/>
        </w:rPr>
        <w:t>К сожалению, проблема гемофильной инфекции сохраняется и на сегодняшний, несмотря на то, что Европейский Ре</w:t>
      </w:r>
      <w:r>
        <w:rPr>
          <w:sz w:val="24"/>
        </w:rPr>
        <w:t xml:space="preserve">гиональный Комитет ВОЗ еще в 1998 г. поставил в качестве одной из целей «снижение к 2010 году или раньше частоты инфекции, вызванной </w:t>
      </w:r>
      <w:r>
        <w:rPr>
          <w:i/>
          <w:sz w:val="24"/>
        </w:rPr>
        <w:t>Hib</w:t>
      </w:r>
      <w:r>
        <w:rPr>
          <w:sz w:val="24"/>
        </w:rPr>
        <w:t xml:space="preserve">, в регионе до &lt;1 на 100000 населения». </w:t>
      </w:r>
      <w:r>
        <w:rPr>
          <w:i/>
          <w:sz w:val="24"/>
          <w:u w:val="single"/>
        </w:rPr>
        <w:t>ВОЗ рекомендует включение конъюгированных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вакцин против гемофильной инфекции тип</w:t>
      </w:r>
      <w:r>
        <w:rPr>
          <w:i/>
          <w:sz w:val="24"/>
          <w:u w:val="single"/>
        </w:rPr>
        <w:t>а b во все программы иммунизации младенцев</w:t>
      </w:r>
      <w:r>
        <w:rPr>
          <w:i/>
          <w:sz w:val="24"/>
        </w:rPr>
        <w:t xml:space="preserve"> </w:t>
      </w:r>
      <w:r>
        <w:rPr>
          <w:sz w:val="24"/>
        </w:rPr>
        <w:t>[1]. Поскольку наиболее тяжелое течение гемофильной типа b инфекции обычно наблюдается среди детей в возрасте 4-18 месяцев, иммунизация должна начинаться как можно раньше.</w:t>
      </w:r>
    </w:p>
    <w:p w:rsidR="00F517A7" w:rsidRDefault="00FE1F1A">
      <w:pPr>
        <w:pStyle w:val="a3"/>
        <w:spacing w:line="276" w:lineRule="auto"/>
        <w:ind w:right="228" w:firstLine="828"/>
      </w:pPr>
      <w:r>
        <w:t>Вакцинация против гемофильной инфекции ти</w:t>
      </w:r>
      <w:r>
        <w:t>па b в России проводится в соответствии с информационным письмом МЗ РФ №2510/10099 – 97 – 32 от 30.12.97. и</w:t>
      </w:r>
    </w:p>
    <w:p w:rsidR="00F517A7" w:rsidRDefault="00F517A7">
      <w:pPr>
        <w:spacing w:line="276" w:lineRule="auto"/>
        <w:sectPr w:rsidR="00F517A7">
          <w:pgSz w:w="11910" w:h="16840"/>
          <w:pgMar w:top="1040" w:right="620" w:bottom="1200" w:left="1480" w:header="0" w:footer="1005" w:gutter="0"/>
          <w:cols w:space="720"/>
        </w:sectPr>
      </w:pPr>
    </w:p>
    <w:p w:rsidR="00F517A7" w:rsidRDefault="00FE1F1A">
      <w:pPr>
        <w:pStyle w:val="a3"/>
        <w:spacing w:before="68" w:line="276" w:lineRule="auto"/>
        <w:ind w:right="226"/>
      </w:pPr>
      <w:r>
        <w:lastRenderedPageBreak/>
        <w:t>методическими рекомендациями по эпидемиологическому надзору за гемофильной инфекцией МЗ РФ от 24.12.98 (регистрационное удостовере</w:t>
      </w:r>
      <w:r>
        <w:t>ние МЗ РФ П – 8 – 007627 от 05.07.96.).</w:t>
      </w:r>
    </w:p>
    <w:p w:rsidR="00F517A7" w:rsidRDefault="00FE1F1A">
      <w:pPr>
        <w:pStyle w:val="3"/>
        <w:spacing w:before="6" w:line="276" w:lineRule="auto"/>
        <w:ind w:left="221" w:right="233" w:firstLine="708"/>
        <w:jc w:val="both"/>
      </w:pPr>
      <w:r>
        <w:t>Характеристика вакцин против гемофильной инфекции типа b, используемых в России</w:t>
      </w:r>
    </w:p>
    <w:p w:rsidR="00F517A7" w:rsidRDefault="00FE1F1A">
      <w:pPr>
        <w:spacing w:line="276" w:lineRule="auto"/>
        <w:ind w:left="221" w:right="228" w:firstLine="708"/>
        <w:jc w:val="both"/>
        <w:rPr>
          <w:i/>
          <w:sz w:val="24"/>
        </w:rPr>
      </w:pPr>
      <w:r>
        <w:rPr>
          <w:i/>
          <w:sz w:val="24"/>
          <w:u w:val="single"/>
        </w:rPr>
        <w:t>Конъюгированные моновалентные вакцины для профилактики гемофильной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инфекции типа b</w:t>
      </w:r>
    </w:p>
    <w:p w:rsidR="00F517A7" w:rsidRDefault="00FE1F1A">
      <w:pPr>
        <w:pStyle w:val="3"/>
      </w:pPr>
      <w:r>
        <w:t>Вакцина моновалентная против гемофильной инфекции тип</w:t>
      </w:r>
      <w:r>
        <w:t>а b "Акт-Хиб",</w:t>
      </w:r>
    </w:p>
    <w:p w:rsidR="00F517A7" w:rsidRDefault="00FE1F1A">
      <w:pPr>
        <w:spacing w:before="36"/>
        <w:ind w:left="221"/>
        <w:rPr>
          <w:sz w:val="24"/>
        </w:rPr>
      </w:pPr>
      <w:r>
        <w:rPr>
          <w:i/>
          <w:sz w:val="24"/>
        </w:rPr>
        <w:t xml:space="preserve">Санофи Пастер С.А., Франция </w:t>
      </w:r>
      <w:r>
        <w:rPr>
          <w:sz w:val="24"/>
        </w:rPr>
        <w:t>(П №013850/01)</w:t>
      </w:r>
    </w:p>
    <w:p w:rsidR="00F517A7" w:rsidRDefault="00FE1F1A">
      <w:pPr>
        <w:pStyle w:val="a3"/>
        <w:spacing w:before="43" w:line="276" w:lineRule="auto"/>
        <w:ind w:right="226" w:firstLine="708"/>
      </w:pPr>
      <w:r>
        <w:rPr>
          <w:i/>
        </w:rPr>
        <w:t>Состав</w:t>
      </w:r>
      <w:r>
        <w:t xml:space="preserve">: содержит капсульный полисахарид </w:t>
      </w:r>
      <w:r>
        <w:rPr>
          <w:i/>
        </w:rPr>
        <w:t xml:space="preserve">Hib </w:t>
      </w:r>
      <w:r>
        <w:t>(10 мкг), конъюгированный с белком столбнячного анатоксина (18-30 мкг). Вспомогательные вещества: сахароза, трометамол, 0,4% раствор натрия хлорид. Консерванта и антибиотиков не содержит.</w:t>
      </w:r>
    </w:p>
    <w:p w:rsidR="00F517A7" w:rsidRDefault="00FE1F1A">
      <w:pPr>
        <w:pStyle w:val="a3"/>
        <w:spacing w:line="278" w:lineRule="auto"/>
        <w:ind w:right="228" w:firstLine="708"/>
      </w:pPr>
      <w:r>
        <w:rPr>
          <w:i/>
        </w:rPr>
        <w:t>Форма выпуска</w:t>
      </w:r>
      <w:r>
        <w:t>: представляет собой лиофилизат (1 доза) в ампуле для п</w:t>
      </w:r>
      <w:r>
        <w:t>риготовления раствора в комплекте с растворителем в шприце (0,5 мл).</w:t>
      </w:r>
    </w:p>
    <w:p w:rsidR="00F517A7" w:rsidRDefault="00FE1F1A">
      <w:pPr>
        <w:spacing w:line="272" w:lineRule="exact"/>
        <w:ind w:left="929"/>
        <w:rPr>
          <w:sz w:val="24"/>
        </w:rPr>
      </w:pPr>
      <w:r>
        <w:rPr>
          <w:i/>
          <w:sz w:val="24"/>
        </w:rPr>
        <w:t xml:space="preserve">Возраст начала вакцинации: </w:t>
      </w:r>
      <w:r>
        <w:rPr>
          <w:sz w:val="24"/>
        </w:rPr>
        <w:t>с 3 месяцев жизни.</w:t>
      </w:r>
    </w:p>
    <w:p w:rsidR="00F517A7" w:rsidRDefault="00FE1F1A">
      <w:pPr>
        <w:pStyle w:val="a3"/>
        <w:spacing w:before="39" w:line="276" w:lineRule="auto"/>
        <w:ind w:right="227" w:firstLine="708"/>
      </w:pPr>
      <w:r>
        <w:rPr>
          <w:i/>
        </w:rPr>
        <w:t xml:space="preserve">Способ введения: детям в возрасте младше 2-х лет </w:t>
      </w:r>
      <w:r>
        <w:t xml:space="preserve">вакцина вводится внутримышечно в верхне-наружную поверхность средней части бедра; </w:t>
      </w:r>
      <w:r>
        <w:rPr>
          <w:i/>
        </w:rPr>
        <w:t>детям стар</w:t>
      </w:r>
      <w:r>
        <w:rPr>
          <w:i/>
        </w:rPr>
        <w:t xml:space="preserve">ше 2-х лет </w:t>
      </w:r>
      <w:r>
        <w:t>– в область дельтовидной мышцы плеча. Вводить сразу после приготовления раствора вакцины. Возможно подкожное глубокое введение вакцины пациентам с нарушениями в системе свертывания крови (гемофилия, тромбоцитопения, лечение антикоагулянтами).</w:t>
      </w:r>
    </w:p>
    <w:p w:rsidR="00F517A7" w:rsidRDefault="00FE1F1A">
      <w:pPr>
        <w:pStyle w:val="a3"/>
        <w:spacing w:line="276" w:lineRule="auto"/>
        <w:ind w:right="226" w:firstLine="708"/>
      </w:pPr>
      <w:r>
        <w:rPr>
          <w:i/>
        </w:rPr>
        <w:t>Сх</w:t>
      </w:r>
      <w:r>
        <w:rPr>
          <w:i/>
        </w:rPr>
        <w:t xml:space="preserve">ема введения вакцины: </w:t>
      </w:r>
      <w:r>
        <w:t>При начале вакцинации в возрасте младше 6 месяцев вакцина вводится 3-хкратно с интервалом 1-2 месяца; ревакцинацию проводят однократно в 18 месяцев. При начале вакцинации в возрасте от 6 до 12 месяцев вакцина вводится 2- хкратно с инт</w:t>
      </w:r>
      <w:r>
        <w:t>ервалом в 1 месяц; ревакцинацию проводят однократно в 18 месяцев. При начале вакцинации в возрасте от 1 года до 5 лет: однократная инъекция.</w:t>
      </w:r>
    </w:p>
    <w:p w:rsidR="00F517A7" w:rsidRDefault="00FE1F1A">
      <w:pPr>
        <w:pStyle w:val="a3"/>
        <w:spacing w:line="276" w:lineRule="auto"/>
        <w:ind w:right="225" w:firstLine="708"/>
      </w:pPr>
      <w:r>
        <w:t xml:space="preserve">В случае контакта не привитого или ребенка, не получившего полный курс вакцинации, с пациентом с инвазивной формой </w:t>
      </w:r>
      <w:r>
        <w:t>гемофильной инфекции типа b, вакцинация должна быть начата или завершена в соответствии с графиком по возрасту в сочетании с рекомендуемой</w:t>
      </w:r>
      <w:r>
        <w:rPr>
          <w:spacing w:val="-2"/>
        </w:rPr>
        <w:t xml:space="preserve"> </w:t>
      </w:r>
      <w:r>
        <w:t>химиопрофилактикой.</w:t>
      </w:r>
    </w:p>
    <w:p w:rsidR="00F517A7" w:rsidRDefault="00FE1F1A">
      <w:pPr>
        <w:pStyle w:val="3"/>
        <w:spacing w:before="4"/>
      </w:pPr>
      <w:r>
        <w:t>Вакцина моновалентная против гемофильной инфекции типа b "Хиберикс",</w:t>
      </w:r>
    </w:p>
    <w:p w:rsidR="00F517A7" w:rsidRDefault="00FE1F1A">
      <w:pPr>
        <w:pStyle w:val="a3"/>
        <w:spacing w:before="39"/>
        <w:jc w:val="left"/>
      </w:pPr>
      <w:r>
        <w:t>ГлаксоСмитКляйн Байолоджикал</w:t>
      </w:r>
      <w:r>
        <w:t>з с.а., Бельгия (П №015829/01)</w:t>
      </w:r>
    </w:p>
    <w:p w:rsidR="00F517A7" w:rsidRDefault="00FE1F1A">
      <w:pPr>
        <w:pStyle w:val="a3"/>
        <w:spacing w:before="41" w:line="276" w:lineRule="auto"/>
        <w:ind w:right="225" w:firstLine="708"/>
      </w:pPr>
      <w:r>
        <w:rPr>
          <w:i/>
        </w:rPr>
        <w:t>Состав</w:t>
      </w:r>
      <w:r>
        <w:t xml:space="preserve">: содержит очищенный капсульный полисахарид, выделенного из штамма </w:t>
      </w:r>
      <w:r>
        <w:rPr>
          <w:i/>
        </w:rPr>
        <w:t xml:space="preserve">Haemophilus influenzae </w:t>
      </w:r>
      <w:r>
        <w:t>типа b 20,752 (10 мкг), конъюгированный со столбнячным анатоксином (30 мкг). Вспомогательные вещества: лактоза, 0,9% раствор натрия хлорид. Консерванта и антибиотиков не содержит.</w:t>
      </w:r>
    </w:p>
    <w:p w:rsidR="00F517A7" w:rsidRDefault="00FE1F1A">
      <w:pPr>
        <w:pStyle w:val="a3"/>
        <w:spacing w:line="276" w:lineRule="auto"/>
        <w:ind w:right="229" w:firstLine="708"/>
      </w:pPr>
      <w:r>
        <w:rPr>
          <w:i/>
        </w:rPr>
        <w:t>Форма выпуска</w:t>
      </w:r>
      <w:r>
        <w:t>: представляет собой лиофилизат (1 доза во флаконе) в комплекте</w:t>
      </w:r>
      <w:r>
        <w:t xml:space="preserve"> с растворителем (0,5 мл растворителя) для приготовления раствора.</w:t>
      </w:r>
    </w:p>
    <w:p w:rsidR="00F517A7" w:rsidRDefault="00FE1F1A">
      <w:pPr>
        <w:spacing w:line="275" w:lineRule="exact"/>
        <w:ind w:left="929"/>
        <w:rPr>
          <w:sz w:val="24"/>
        </w:rPr>
      </w:pPr>
      <w:r>
        <w:rPr>
          <w:i/>
          <w:sz w:val="24"/>
        </w:rPr>
        <w:t xml:space="preserve">Возраст начала вакцинации: </w:t>
      </w:r>
      <w:r>
        <w:rPr>
          <w:sz w:val="24"/>
        </w:rPr>
        <w:t>с 6 недель жизни.</w:t>
      </w:r>
    </w:p>
    <w:p w:rsidR="00F517A7" w:rsidRDefault="00FE1F1A">
      <w:pPr>
        <w:spacing w:before="43" w:line="276" w:lineRule="auto"/>
        <w:ind w:left="221" w:right="227" w:firstLine="708"/>
        <w:jc w:val="both"/>
        <w:rPr>
          <w:sz w:val="24"/>
        </w:rPr>
      </w:pPr>
      <w:r>
        <w:rPr>
          <w:i/>
          <w:sz w:val="24"/>
        </w:rPr>
        <w:t xml:space="preserve">Способ введения: детям в возрасте младше 2-х лет </w:t>
      </w:r>
      <w:r>
        <w:rPr>
          <w:sz w:val="24"/>
        </w:rPr>
        <w:t xml:space="preserve">вакцина вводится внутримышечно в верхне-наружную поверхность средней части бедра; </w:t>
      </w:r>
      <w:r>
        <w:rPr>
          <w:i/>
          <w:sz w:val="24"/>
        </w:rPr>
        <w:t xml:space="preserve">детям старше </w:t>
      </w:r>
      <w:r>
        <w:rPr>
          <w:i/>
          <w:sz w:val="24"/>
        </w:rPr>
        <w:t xml:space="preserve">2-х лет </w:t>
      </w:r>
      <w:r>
        <w:rPr>
          <w:sz w:val="24"/>
        </w:rPr>
        <w:t>– в область дельтовидной мышцы плеча. Вводить сразу после приготовления раствора вакцины.</w:t>
      </w:r>
    </w:p>
    <w:p w:rsidR="00F517A7" w:rsidRDefault="00FE1F1A">
      <w:pPr>
        <w:spacing w:line="276" w:lineRule="auto"/>
        <w:ind w:left="221" w:right="226" w:firstLine="708"/>
        <w:jc w:val="both"/>
        <w:rPr>
          <w:sz w:val="24"/>
        </w:rPr>
      </w:pPr>
      <w:r>
        <w:rPr>
          <w:i/>
          <w:sz w:val="24"/>
        </w:rPr>
        <w:t xml:space="preserve">Схема введения вакцины: </w:t>
      </w:r>
      <w:r>
        <w:rPr>
          <w:sz w:val="24"/>
        </w:rPr>
        <w:t xml:space="preserve">При начале вакцинации в возрасте </w:t>
      </w:r>
      <w:r>
        <w:rPr>
          <w:i/>
          <w:sz w:val="24"/>
        </w:rPr>
        <w:t xml:space="preserve">младше 6 месяцев </w:t>
      </w:r>
      <w:r>
        <w:rPr>
          <w:sz w:val="24"/>
        </w:rPr>
        <w:t xml:space="preserve">вакцина вводится 3-хкратно с интервалом 1-2 месяца; ревакцинацию проводят однократно в 18 месяцев. При начале вакцинации в возрасте </w:t>
      </w:r>
      <w:r>
        <w:rPr>
          <w:i/>
          <w:sz w:val="24"/>
        </w:rPr>
        <w:t xml:space="preserve">от 6 до 12 месяцев </w:t>
      </w:r>
      <w:r>
        <w:rPr>
          <w:sz w:val="24"/>
        </w:rPr>
        <w:t>вакцина вводится 2-</w:t>
      </w:r>
    </w:p>
    <w:p w:rsidR="00F517A7" w:rsidRDefault="00F517A7">
      <w:pPr>
        <w:spacing w:line="276" w:lineRule="auto"/>
        <w:jc w:val="both"/>
        <w:rPr>
          <w:sz w:val="24"/>
        </w:rPr>
        <w:sectPr w:rsidR="00F517A7">
          <w:pgSz w:w="11910" w:h="16840"/>
          <w:pgMar w:top="1040" w:right="620" w:bottom="1200" w:left="1480" w:header="0" w:footer="1005" w:gutter="0"/>
          <w:cols w:space="720"/>
        </w:sectPr>
      </w:pPr>
    </w:p>
    <w:p w:rsidR="00F517A7" w:rsidRDefault="00FE1F1A">
      <w:pPr>
        <w:pStyle w:val="a3"/>
        <w:spacing w:before="68" w:line="278" w:lineRule="auto"/>
        <w:jc w:val="left"/>
      </w:pPr>
      <w:r>
        <w:lastRenderedPageBreak/>
        <w:t xml:space="preserve">хкратно с интервалом в 1 месяц; ревакцинацию проводят однократно в </w:t>
      </w:r>
      <w:r>
        <w:t xml:space="preserve">18 месяцев. При начале вакцинации в возрасте </w:t>
      </w:r>
      <w:r>
        <w:rPr>
          <w:i/>
        </w:rPr>
        <w:t>от 1 года до 5 лет</w:t>
      </w:r>
      <w:r>
        <w:t>: однократная инъекция.</w:t>
      </w:r>
    </w:p>
    <w:p w:rsidR="00F517A7" w:rsidRDefault="00F517A7">
      <w:pPr>
        <w:pStyle w:val="a3"/>
        <w:spacing w:before="2"/>
        <w:ind w:left="0"/>
        <w:jc w:val="left"/>
        <w:rPr>
          <w:sz w:val="27"/>
        </w:rPr>
      </w:pPr>
    </w:p>
    <w:p w:rsidR="00F517A7" w:rsidRDefault="00FE1F1A">
      <w:pPr>
        <w:spacing w:line="276" w:lineRule="auto"/>
        <w:ind w:left="221" w:right="231" w:firstLine="708"/>
        <w:jc w:val="both"/>
        <w:rPr>
          <w:i/>
          <w:sz w:val="24"/>
        </w:rPr>
      </w:pPr>
      <w:r>
        <w:rPr>
          <w:i/>
          <w:sz w:val="24"/>
        </w:rPr>
        <w:t>Содержащийся во всех конъюгированных вакцинах против гемофильной инфекции типа b столбнячный анатоксин не может рассматриваться как замена вакцинации против столбняка.</w:t>
      </w:r>
    </w:p>
    <w:p w:rsidR="00F517A7" w:rsidRDefault="00FE1F1A">
      <w:pPr>
        <w:pStyle w:val="a3"/>
        <w:spacing w:before="1" w:line="276" w:lineRule="auto"/>
        <w:ind w:right="237" w:firstLine="708"/>
      </w:pPr>
      <w:r>
        <w:t>Если курс вакцинации был прерван, календарь должен быть возобновлен без повторения введенных ранее доз.</w:t>
      </w:r>
    </w:p>
    <w:p w:rsidR="00F517A7" w:rsidRDefault="00FE1F1A">
      <w:pPr>
        <w:pStyle w:val="a3"/>
        <w:spacing w:line="275" w:lineRule="exact"/>
        <w:ind w:left="929"/>
        <w:jc w:val="left"/>
      </w:pPr>
      <w:r>
        <w:t xml:space="preserve">Здоровые дети в возрасте старше 5 лет не нуждаются в вакцинации против </w:t>
      </w:r>
      <w:r>
        <w:rPr>
          <w:i/>
        </w:rPr>
        <w:t xml:space="preserve">Hib </w:t>
      </w:r>
      <w:r>
        <w:t>[1].</w:t>
      </w:r>
    </w:p>
    <w:p w:rsidR="00F517A7" w:rsidRDefault="00F517A7">
      <w:pPr>
        <w:pStyle w:val="a3"/>
        <w:spacing w:before="4"/>
        <w:ind w:left="0"/>
        <w:jc w:val="left"/>
        <w:rPr>
          <w:sz w:val="31"/>
        </w:rPr>
      </w:pPr>
    </w:p>
    <w:p w:rsidR="00F517A7" w:rsidRDefault="00FE1F1A">
      <w:pPr>
        <w:spacing w:line="276" w:lineRule="auto"/>
        <w:ind w:left="221" w:right="228" w:firstLine="708"/>
        <w:jc w:val="both"/>
        <w:rPr>
          <w:i/>
          <w:sz w:val="24"/>
        </w:rPr>
      </w:pPr>
      <w:r>
        <w:rPr>
          <w:i/>
          <w:sz w:val="24"/>
          <w:u w:val="single"/>
        </w:rPr>
        <w:t>Комбинированные вакцины, содержащие компонент для профилактики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гемофиль</w:t>
      </w:r>
      <w:r>
        <w:rPr>
          <w:i/>
          <w:sz w:val="24"/>
          <w:u w:val="single"/>
        </w:rPr>
        <w:t>ной инфекции типа b</w:t>
      </w:r>
    </w:p>
    <w:p w:rsidR="00F517A7" w:rsidRDefault="00FE1F1A">
      <w:pPr>
        <w:pStyle w:val="a3"/>
        <w:spacing w:line="276" w:lineRule="auto"/>
        <w:ind w:right="225" w:firstLine="708"/>
      </w:pPr>
      <w:r>
        <w:t>Достаточно давно разработаны комбинированные вакцины, призванные снизить бремя вакцинации для детей, родителей и работников здравоохранения в условиях роста числа доступных вакцин, предназначенных для предотвращения инфекционных заболев</w:t>
      </w:r>
      <w:r>
        <w:t>аний у детей. Первая комбинированная вакцина против дифтерии, столбняка, коклюша, гепатита В и гемофильной инфекции типа b появилась в 1996 году.</w:t>
      </w:r>
    </w:p>
    <w:p w:rsidR="00F517A7" w:rsidRDefault="00FE1F1A">
      <w:pPr>
        <w:pStyle w:val="3"/>
        <w:spacing w:before="5" w:line="273" w:lineRule="auto"/>
        <w:ind w:left="221" w:right="226" w:firstLine="708"/>
        <w:jc w:val="both"/>
        <w:rPr>
          <w:b w:val="0"/>
        </w:rPr>
      </w:pPr>
      <w:r>
        <w:t xml:space="preserve">Вакцина комбинированная для профилактики дифтерии и столбняка адсорбированная, коклюша ацеллюлярная, полиомиелита инактивированная, инфекции, вызываемой гемофильной инфекции типа b конъюгированная "Пентаксим", </w:t>
      </w:r>
      <w:r>
        <w:rPr>
          <w:b w:val="0"/>
        </w:rPr>
        <w:t>«Санофи Пастер с.а.», Франция (ЛРС №01-11/42-0</w:t>
      </w:r>
      <w:r>
        <w:rPr>
          <w:b w:val="0"/>
        </w:rPr>
        <w:t>8)</w:t>
      </w:r>
    </w:p>
    <w:p w:rsidR="00F517A7" w:rsidRDefault="00FE1F1A">
      <w:pPr>
        <w:pStyle w:val="a3"/>
        <w:spacing w:before="7" w:line="273" w:lineRule="auto"/>
        <w:ind w:right="225" w:firstLine="708"/>
      </w:pPr>
      <w:r>
        <w:rPr>
          <w:i/>
        </w:rPr>
        <w:t>Состав</w:t>
      </w:r>
      <w:r>
        <w:t xml:space="preserve">: вакцина для профилактики коклюша, дифтерии, столбняка и полиомиелита содержит анатоксин дифтерийный </w:t>
      </w:r>
      <w:r>
        <w:rPr>
          <w:position w:val="1"/>
        </w:rPr>
        <w:t xml:space="preserve">≥ 30 МЕ; анатоксин столбнячный ≥ 40 </w:t>
      </w:r>
      <w:r>
        <w:t>МЕ; анатоксин коклюшный – 25 мкг; гемагглютинин филаментозный коклюшный – 25 мкг; вирус полиомиелита 1-го тип</w:t>
      </w:r>
      <w:r>
        <w:t>а инактивированный – 40 единиц D антигена; вирус полиомиелита 2-го типа инактивированный – 8 единиц D антигена; вирус полиомиелита 3- го типа инактивированный – 32 единицы D антигена. Вспомогательные вещества: алюминия гидроксид, среда Хенкса 199 (без фено</w:t>
      </w:r>
      <w:r>
        <w:t>лового красного); формальдегид, феноксиэтанол, вода для инъекций, уксусная кислота или натрия</w:t>
      </w:r>
      <w:r>
        <w:rPr>
          <w:spacing w:val="-4"/>
        </w:rPr>
        <w:t xml:space="preserve"> </w:t>
      </w:r>
      <w:r>
        <w:t>гидроксид.</w:t>
      </w:r>
    </w:p>
    <w:p w:rsidR="00F517A7" w:rsidRDefault="00FE1F1A">
      <w:pPr>
        <w:spacing w:before="10" w:line="276" w:lineRule="auto"/>
        <w:ind w:left="221" w:right="229" w:firstLine="708"/>
        <w:jc w:val="both"/>
        <w:rPr>
          <w:sz w:val="24"/>
        </w:rPr>
      </w:pPr>
      <w:r>
        <w:rPr>
          <w:sz w:val="24"/>
        </w:rPr>
        <w:t xml:space="preserve">Вакцина для профилактики инфекции, вызываемой </w:t>
      </w:r>
      <w:r>
        <w:rPr>
          <w:i/>
          <w:sz w:val="24"/>
        </w:rPr>
        <w:t xml:space="preserve">Haemophilus influenzae типа b </w:t>
      </w:r>
      <w:r>
        <w:rPr>
          <w:sz w:val="24"/>
        </w:rPr>
        <w:t xml:space="preserve">содержит полисахарид </w:t>
      </w:r>
      <w:r>
        <w:rPr>
          <w:i/>
          <w:sz w:val="24"/>
        </w:rPr>
        <w:t xml:space="preserve">Haemophilus influenzae тип b </w:t>
      </w:r>
      <w:r>
        <w:rPr>
          <w:sz w:val="24"/>
        </w:rPr>
        <w:t>– 10 мкг</w:t>
      </w:r>
      <w:r>
        <w:rPr>
          <w:i/>
          <w:sz w:val="24"/>
        </w:rPr>
        <w:t xml:space="preserve">, </w:t>
      </w:r>
      <w:r>
        <w:rPr>
          <w:sz w:val="24"/>
        </w:rPr>
        <w:t>конъюгированный</w:t>
      </w:r>
      <w:r>
        <w:rPr>
          <w:sz w:val="24"/>
        </w:rPr>
        <w:t xml:space="preserve"> со столбнячным анатоксином, и вспомогательные вещества - сахароза, трометамол.</w:t>
      </w:r>
    </w:p>
    <w:p w:rsidR="00F517A7" w:rsidRDefault="00FE1F1A">
      <w:pPr>
        <w:pStyle w:val="a3"/>
        <w:spacing w:line="276" w:lineRule="auto"/>
        <w:ind w:right="227" w:firstLine="708"/>
      </w:pPr>
      <w:r>
        <w:rPr>
          <w:i/>
        </w:rPr>
        <w:t>Форма выпуска</w:t>
      </w:r>
      <w:r>
        <w:t>: вакцина для профилактики коклюша, дифтерии, столбняка и полиомиелита представляет собой суспензию (шприц-доза 0,5 мл) в комплекте с лиофилизатом, содержащим вакц</w:t>
      </w:r>
      <w:r>
        <w:t>ину против гемофильной инфекции типа b (1 доза во флаконе) для приготовления раствора.</w:t>
      </w:r>
    </w:p>
    <w:p w:rsidR="00F517A7" w:rsidRDefault="00FE1F1A">
      <w:pPr>
        <w:ind w:left="929"/>
        <w:rPr>
          <w:sz w:val="24"/>
        </w:rPr>
      </w:pPr>
      <w:r>
        <w:rPr>
          <w:i/>
          <w:sz w:val="24"/>
        </w:rPr>
        <w:t xml:space="preserve">Возраст начала вакцинации: </w:t>
      </w:r>
      <w:r>
        <w:rPr>
          <w:sz w:val="24"/>
        </w:rPr>
        <w:t>с 3 месяцев жизни.</w:t>
      </w:r>
    </w:p>
    <w:p w:rsidR="00F517A7" w:rsidRDefault="00FE1F1A">
      <w:pPr>
        <w:pStyle w:val="a3"/>
        <w:spacing w:before="41" w:line="276" w:lineRule="auto"/>
        <w:ind w:right="225" w:firstLine="708"/>
      </w:pPr>
      <w:r>
        <w:rPr>
          <w:i/>
        </w:rPr>
        <w:t xml:space="preserve">Способ введения: </w:t>
      </w:r>
      <w:r>
        <w:t>Вакцину вводят внутримышечно в дозе 0,5 мл, рекомендуемое место введения - средняя треть переднелатерально</w:t>
      </w:r>
      <w:r>
        <w:t xml:space="preserve">й поверхности бедра. После смешивания суспензии для внутримышечного введения (вакцины для профилактики дифтерии, столбняка, коклюша и полиомиелита) с лиофилизатом (вакцина для профилактики инфекции, вызываемой </w:t>
      </w:r>
      <w:r>
        <w:rPr>
          <w:i/>
        </w:rPr>
        <w:t>Haemophilus influenzae тип b</w:t>
      </w:r>
      <w:r>
        <w:t>) необходимо дожда</w:t>
      </w:r>
      <w:r>
        <w:t>ться полного растворения лиофилизата (не более 3 минут) и немедленно ввести готовую</w:t>
      </w:r>
      <w:r>
        <w:rPr>
          <w:spacing w:val="-1"/>
        </w:rPr>
        <w:t xml:space="preserve"> </w:t>
      </w:r>
      <w:r>
        <w:t>вакцину.</w:t>
      </w:r>
    </w:p>
    <w:p w:rsidR="00F517A7" w:rsidRDefault="00FE1F1A">
      <w:pPr>
        <w:spacing w:before="1"/>
        <w:ind w:left="929"/>
        <w:rPr>
          <w:sz w:val="24"/>
        </w:rPr>
      </w:pPr>
      <w:r>
        <w:rPr>
          <w:i/>
          <w:sz w:val="24"/>
        </w:rPr>
        <w:t xml:space="preserve">Схема введения вакцины: </w:t>
      </w:r>
      <w:r>
        <w:rPr>
          <w:sz w:val="24"/>
        </w:rPr>
        <w:t>при начале вакцинации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 xml:space="preserve">в возрасте до 6 месяцев </w:t>
      </w:r>
      <w:r>
        <w:rPr>
          <w:sz w:val="24"/>
        </w:rPr>
        <w:t>курс</w:t>
      </w:r>
    </w:p>
    <w:p w:rsidR="00F517A7" w:rsidRDefault="00F517A7">
      <w:pPr>
        <w:rPr>
          <w:sz w:val="24"/>
        </w:rPr>
        <w:sectPr w:rsidR="00F517A7">
          <w:pgSz w:w="11910" w:h="16840"/>
          <w:pgMar w:top="1040" w:right="620" w:bottom="1200" w:left="1480" w:header="0" w:footer="1005" w:gutter="0"/>
          <w:cols w:space="720"/>
        </w:sectPr>
      </w:pPr>
    </w:p>
    <w:p w:rsidR="00F517A7" w:rsidRDefault="00FE1F1A">
      <w:pPr>
        <w:pStyle w:val="a3"/>
        <w:spacing w:before="68" w:line="278" w:lineRule="auto"/>
        <w:ind w:right="259"/>
        <w:jc w:val="left"/>
      </w:pPr>
      <w:r>
        <w:lastRenderedPageBreak/>
        <w:t>состоит из 3 инъекций с интервалом 1-2 месяца, ревакцинация осуществляется в возрасте 18 месяцев жизни.</w:t>
      </w:r>
    </w:p>
    <w:p w:rsidR="00F517A7" w:rsidRDefault="00FE1F1A">
      <w:pPr>
        <w:pStyle w:val="a3"/>
        <w:spacing w:line="276" w:lineRule="auto"/>
        <w:ind w:right="226" w:firstLine="708"/>
      </w:pPr>
      <w:r>
        <w:t xml:space="preserve">При введении первой дозы </w:t>
      </w:r>
      <w:r>
        <w:rPr>
          <w:i/>
        </w:rPr>
        <w:t xml:space="preserve">в возрасте 6-12 месяцев </w:t>
      </w:r>
      <w:r>
        <w:t>вторая доза вводится через 1,5 месяца, а в качестве третьей дозы, вводимой через 1,5 месяца, применяетс</w:t>
      </w:r>
      <w:r>
        <w:t>я только вакцина для профилактики коклюша, дифтерии, столбняка и полиомиелита  без разведения лиофилизата во флаконе с вакциной против гемофильной инфекции типа b. В качестве ревакцинирующей дозы используется обычная доза с разведением</w:t>
      </w:r>
      <w:r>
        <w:rPr>
          <w:spacing w:val="-33"/>
        </w:rPr>
        <w:t xml:space="preserve"> </w:t>
      </w:r>
      <w:r>
        <w:t>лиофилизата.</w:t>
      </w:r>
    </w:p>
    <w:p w:rsidR="00F517A7" w:rsidRDefault="00FE1F1A">
      <w:pPr>
        <w:pStyle w:val="a3"/>
        <w:spacing w:line="276" w:lineRule="auto"/>
        <w:ind w:right="230" w:firstLine="708"/>
      </w:pPr>
      <w:r>
        <w:t>При вве</w:t>
      </w:r>
      <w:r>
        <w:t xml:space="preserve">дении первой дозы полностью разведенной вакцины </w:t>
      </w:r>
      <w:r>
        <w:rPr>
          <w:i/>
        </w:rPr>
        <w:t xml:space="preserve">в возрасте старше 1 года </w:t>
      </w:r>
      <w:r>
        <w:t>вторая, третья и ревакцинирующая дозы используются без разведения лиофилизата во флаконе с вакциной против гемофильной инфекции типа</w:t>
      </w:r>
      <w:r>
        <w:rPr>
          <w:spacing w:val="-8"/>
        </w:rPr>
        <w:t xml:space="preserve"> </w:t>
      </w:r>
      <w:r>
        <w:t>b.</w:t>
      </w:r>
    </w:p>
    <w:p w:rsidR="00F517A7" w:rsidRDefault="00FE1F1A">
      <w:pPr>
        <w:spacing w:before="1" w:line="276" w:lineRule="auto"/>
        <w:ind w:left="221" w:right="226" w:firstLine="708"/>
        <w:jc w:val="both"/>
        <w:rPr>
          <w:sz w:val="24"/>
        </w:rPr>
      </w:pPr>
      <w:r>
        <w:rPr>
          <w:b/>
          <w:sz w:val="24"/>
        </w:rPr>
        <w:t xml:space="preserve">Вакцина комбинированная для профилактики дифтерии и столбняка адсорбированная, коклюша ацеллюлярная, полиомиелита инактивированная, гепатита В, инфекции, вызываемой гемофильной инфекции типа b конъюгированная "Инфанрикс Гекса", </w:t>
      </w:r>
      <w:r>
        <w:rPr>
          <w:sz w:val="24"/>
        </w:rPr>
        <w:t>«ГлаксоСмитКляйн Байолоджика</w:t>
      </w:r>
      <w:r>
        <w:rPr>
          <w:sz w:val="24"/>
        </w:rPr>
        <w:t>лз с.а.», Бельгия (ЛП</w:t>
      </w:r>
      <w:r>
        <w:rPr>
          <w:spacing w:val="-2"/>
          <w:sz w:val="24"/>
        </w:rPr>
        <w:t xml:space="preserve"> </w:t>
      </w:r>
      <w:r>
        <w:rPr>
          <w:sz w:val="24"/>
        </w:rPr>
        <w:t>000877-181011)</w:t>
      </w:r>
    </w:p>
    <w:p w:rsidR="00F517A7" w:rsidRDefault="00FE1F1A">
      <w:pPr>
        <w:pStyle w:val="a3"/>
        <w:spacing w:line="276" w:lineRule="auto"/>
        <w:ind w:right="226" w:firstLine="708"/>
      </w:pPr>
      <w:r>
        <w:rPr>
          <w:i/>
        </w:rPr>
        <w:t>Состав</w:t>
      </w:r>
      <w:r>
        <w:t>: вакцина для профилактики коклюша, дифтерии, столбняка и полиомиелита и гепатита В содержит анатоксин дифтерийный - не менее 30 МЕ, анатоксин столбнячный - не менее 40 МЕ, анатоксин коклюшный - 25 мкг, гемагглюти</w:t>
      </w:r>
      <w:r>
        <w:t>нин филаментозный - 25 мкг, пертактин - 8 мкг, HBS-протеин, являющийся основным поверхностным антигеном вируса гепатита B (HBsAg) - 10 мкг, полиомиелита вирус инактивированный 1 типа - 40 ЕД D-антигена, полиомиелита вирус инактивированный 2 типа - 8 ЕД D-а</w:t>
      </w:r>
      <w:r>
        <w:t xml:space="preserve">нтигена, полиомиелита </w:t>
      </w:r>
      <w:r>
        <w:rPr>
          <w:spacing w:val="-3"/>
        </w:rPr>
        <w:t xml:space="preserve">вирус </w:t>
      </w:r>
      <w:r>
        <w:t>инактивированный 3 типа - 32 ЕД D- антигена. Вспомогательные вещества: среда 199 (M 199) (включая аминокислоты), натрия хлорид, алюминия гидроксид, алюминия</w:t>
      </w:r>
      <w:r>
        <w:rPr>
          <w:spacing w:val="-2"/>
        </w:rPr>
        <w:t xml:space="preserve"> </w:t>
      </w:r>
      <w:r>
        <w:t>фосфат.</w:t>
      </w:r>
    </w:p>
    <w:p w:rsidR="00F517A7" w:rsidRDefault="00FE1F1A">
      <w:pPr>
        <w:spacing w:line="276" w:lineRule="auto"/>
        <w:ind w:left="221" w:right="227" w:firstLine="708"/>
        <w:jc w:val="both"/>
        <w:rPr>
          <w:sz w:val="24"/>
        </w:rPr>
      </w:pPr>
      <w:r>
        <w:rPr>
          <w:sz w:val="24"/>
        </w:rPr>
        <w:t xml:space="preserve">Вакцина для профилактики инфекции, вызываемой </w:t>
      </w:r>
      <w:r>
        <w:rPr>
          <w:i/>
          <w:sz w:val="24"/>
        </w:rPr>
        <w:t>Haemophilus influ</w:t>
      </w:r>
      <w:r>
        <w:rPr>
          <w:i/>
          <w:sz w:val="24"/>
        </w:rPr>
        <w:t>enzae типа b</w:t>
      </w:r>
      <w:r>
        <w:rPr>
          <w:sz w:val="24"/>
        </w:rPr>
        <w:t xml:space="preserve">, содержит полисахарид </w:t>
      </w:r>
      <w:r>
        <w:rPr>
          <w:i/>
          <w:sz w:val="24"/>
        </w:rPr>
        <w:t xml:space="preserve">Haemophilus influenzae тип b </w:t>
      </w:r>
      <w:r>
        <w:rPr>
          <w:sz w:val="24"/>
        </w:rPr>
        <w:t>– 10 мкг</w:t>
      </w:r>
      <w:r>
        <w:rPr>
          <w:i/>
          <w:sz w:val="24"/>
        </w:rPr>
        <w:t xml:space="preserve">, </w:t>
      </w:r>
      <w:r>
        <w:rPr>
          <w:sz w:val="24"/>
        </w:rPr>
        <w:t>конъюгированный со столбнячным анатоксином – 25 мкг, и вспомогательные вещества – лактоза, алюминия фосфат.</w:t>
      </w:r>
    </w:p>
    <w:p w:rsidR="00F517A7" w:rsidRDefault="00FE1F1A">
      <w:pPr>
        <w:pStyle w:val="a3"/>
        <w:spacing w:line="276" w:lineRule="auto"/>
        <w:ind w:right="225" w:firstLine="708"/>
      </w:pPr>
      <w:r>
        <w:rPr>
          <w:i/>
        </w:rPr>
        <w:t>Форма выпуска</w:t>
      </w:r>
      <w:r>
        <w:t>: вакцина для профилактики коклюша, дифтерии, столбняка и пол</w:t>
      </w:r>
      <w:r>
        <w:t>иомиелита и гепатита В представляет собой суспензию (шприц-доза 0,5 мл) в комплекте с лиофилизатом, содержащим вакцину против гемофильной инфекции типа b  (1 доза во флаконе) для приготовления</w:t>
      </w:r>
      <w:r>
        <w:rPr>
          <w:spacing w:val="-4"/>
        </w:rPr>
        <w:t xml:space="preserve"> </w:t>
      </w:r>
      <w:r>
        <w:t>раствора.</w:t>
      </w:r>
    </w:p>
    <w:p w:rsidR="00F517A7" w:rsidRDefault="00FE1F1A">
      <w:pPr>
        <w:ind w:left="929"/>
        <w:rPr>
          <w:sz w:val="24"/>
        </w:rPr>
      </w:pPr>
      <w:r>
        <w:rPr>
          <w:i/>
          <w:sz w:val="24"/>
        </w:rPr>
        <w:t xml:space="preserve">Возраст начала вакцинации: </w:t>
      </w:r>
      <w:r>
        <w:rPr>
          <w:sz w:val="24"/>
        </w:rPr>
        <w:t>с 3 месяцев жизни.</w:t>
      </w:r>
    </w:p>
    <w:p w:rsidR="00F517A7" w:rsidRDefault="00FE1F1A">
      <w:pPr>
        <w:pStyle w:val="a3"/>
        <w:spacing w:before="36" w:line="276" w:lineRule="auto"/>
        <w:ind w:right="225" w:firstLine="708"/>
      </w:pPr>
      <w:r>
        <w:rPr>
          <w:i/>
        </w:rPr>
        <w:t xml:space="preserve">Способ </w:t>
      </w:r>
      <w:r>
        <w:rPr>
          <w:i/>
        </w:rPr>
        <w:t xml:space="preserve">введения: </w:t>
      </w:r>
      <w:r>
        <w:t>Вакцину вводят в среднюю треть переднелатеральной поверхности бедра глубоко внутримышечно, чередуя стороны при последующих инъекциях. После смешивания суспензии для внутримышечного введения (вакцины для профилактики дифтерии, столбняка, коклюша и</w:t>
      </w:r>
      <w:r>
        <w:t xml:space="preserve"> полиомиелита) с лиофилизатом (вакцина для профилактики инфекции, вызываемой </w:t>
      </w:r>
      <w:r>
        <w:rPr>
          <w:i/>
        </w:rPr>
        <w:t>Haemophilus influenzae тип b</w:t>
      </w:r>
      <w:r>
        <w:t>) необходимо дождаться полного растворения лиофилизата (не более 5 минут) и немедленно ввести готовую вакцину.</w:t>
      </w:r>
    </w:p>
    <w:p w:rsidR="00F517A7" w:rsidRDefault="00FE1F1A">
      <w:pPr>
        <w:pStyle w:val="a3"/>
        <w:spacing w:line="276" w:lineRule="auto"/>
        <w:ind w:right="234" w:firstLine="708"/>
      </w:pPr>
      <w:r>
        <w:t>Предпочтительно предварительное согреван</w:t>
      </w:r>
      <w:r>
        <w:t>ие вакцины перед введением, для этого флакон перед введением суспензии из шприца необходимо оставить при комнатной температуре на пять минут.</w:t>
      </w:r>
    </w:p>
    <w:p w:rsidR="00F517A7" w:rsidRDefault="00FE1F1A">
      <w:pPr>
        <w:spacing w:before="1"/>
        <w:ind w:left="929"/>
        <w:rPr>
          <w:i/>
          <w:sz w:val="24"/>
        </w:rPr>
      </w:pPr>
      <w:r>
        <w:rPr>
          <w:i/>
          <w:sz w:val="24"/>
        </w:rPr>
        <w:t>Схема введения вакцины:</w:t>
      </w:r>
    </w:p>
    <w:p w:rsidR="00F517A7" w:rsidRDefault="00FE1F1A">
      <w:pPr>
        <w:pStyle w:val="a3"/>
        <w:spacing w:before="41"/>
        <w:ind w:left="929"/>
        <w:jc w:val="left"/>
      </w:pPr>
      <w:r>
        <w:t>Возможно применение 3-дозовой и 2-дозовой вакцинации первичной вакцинации с</w:t>
      </w:r>
    </w:p>
    <w:p w:rsidR="00F517A7" w:rsidRDefault="00F517A7">
      <w:pPr>
        <w:sectPr w:rsidR="00F517A7">
          <w:pgSz w:w="11910" w:h="16840"/>
          <w:pgMar w:top="1040" w:right="620" w:bottom="1200" w:left="1480" w:header="0" w:footer="1005" w:gutter="0"/>
          <w:cols w:space="720"/>
        </w:sectPr>
      </w:pPr>
    </w:p>
    <w:p w:rsidR="00F517A7" w:rsidRDefault="00FE1F1A">
      <w:pPr>
        <w:pStyle w:val="a3"/>
        <w:spacing w:before="68" w:line="276" w:lineRule="auto"/>
        <w:ind w:right="228"/>
      </w:pPr>
      <w:r>
        <w:lastRenderedPageBreak/>
        <w:t>использованием лиофилизата вакцины для профилактики гемофильной инфекции. При этом должен соблюдаться минимальный интервал не менее 1 месяца. Ревакцинация проводится в 18 месяцев согласной Национальному календарю профилактических прививо</w:t>
      </w:r>
      <w:r>
        <w:t>к РФ, но может быть проведена иначе при соблюдении интервала не менее 6 месяцев после последней прививки первичного курса. Так, после 2-дозовой первичной иммунизации ревакцинирующую дозу предпочтительно вводить между 11 и 13 месяцами, после 3-дозового курс</w:t>
      </w:r>
      <w:r>
        <w:t>а – бустер-доза может быть введена до 18 месяцев.</w:t>
      </w:r>
    </w:p>
    <w:p w:rsidR="00F517A7" w:rsidRDefault="00FE1F1A">
      <w:pPr>
        <w:pStyle w:val="a3"/>
        <w:spacing w:before="1"/>
        <w:ind w:left="929"/>
        <w:jc w:val="left"/>
      </w:pPr>
      <w:r>
        <w:t>Вакцина не применяется у детей старше 36 месяцев.</w:t>
      </w:r>
    </w:p>
    <w:p w:rsidR="00F517A7" w:rsidRDefault="00F517A7">
      <w:pPr>
        <w:pStyle w:val="a3"/>
        <w:spacing w:before="4"/>
        <w:ind w:left="0"/>
        <w:jc w:val="left"/>
        <w:rPr>
          <w:sz w:val="31"/>
        </w:rPr>
      </w:pPr>
    </w:p>
    <w:p w:rsidR="00F517A7" w:rsidRDefault="00FE1F1A">
      <w:pPr>
        <w:pStyle w:val="a3"/>
        <w:ind w:left="929"/>
        <w:jc w:val="left"/>
      </w:pPr>
      <w:r>
        <w:t xml:space="preserve">Также моновалентная  вакцина для профилактики  гемофильной  инфекции  типа </w:t>
      </w:r>
      <w:r>
        <w:rPr>
          <w:spacing w:val="17"/>
        </w:rPr>
        <w:t xml:space="preserve"> </w:t>
      </w:r>
      <w:r>
        <w:t>b</w:t>
      </w:r>
    </w:p>
    <w:p w:rsidR="00F517A7" w:rsidRDefault="00FE1F1A">
      <w:pPr>
        <w:pStyle w:val="a3"/>
        <w:spacing w:before="41" w:line="276" w:lineRule="auto"/>
        <w:ind w:right="232"/>
      </w:pPr>
      <w:r>
        <w:t>«Хиберикс» может быть смешана в одном шприце с комбинированной адсорбированной бесклеточной АКДС-вакциной для профилактики дифтерии, столбняка, коклюша («Инфанрикс») (ГлаксоСмитКляйн Трейдинг, Россия). В этом случае растворитель в ампуле,  приложенный к  в</w:t>
      </w:r>
      <w:r>
        <w:t>акцине  «Хиберикс»,  не  используется,  а  заменяется</w:t>
      </w:r>
      <w:r>
        <w:rPr>
          <w:spacing w:val="24"/>
        </w:rPr>
        <w:t xml:space="preserve"> </w:t>
      </w:r>
      <w:r>
        <w:t>вакциной</w:t>
      </w:r>
    </w:p>
    <w:p w:rsidR="00F517A7" w:rsidRDefault="00FE1F1A">
      <w:pPr>
        <w:pStyle w:val="a3"/>
        <w:jc w:val="left"/>
      </w:pPr>
      <w:r>
        <w:t>«Инфанрикс».</w:t>
      </w:r>
    </w:p>
    <w:p w:rsidR="00F517A7" w:rsidRDefault="00F517A7">
      <w:pPr>
        <w:pStyle w:val="a3"/>
        <w:spacing w:before="5"/>
        <w:ind w:left="0"/>
        <w:jc w:val="left"/>
        <w:rPr>
          <w:sz w:val="31"/>
        </w:rPr>
      </w:pPr>
    </w:p>
    <w:p w:rsidR="00F517A7" w:rsidRDefault="00FE1F1A">
      <w:pPr>
        <w:pStyle w:val="3"/>
        <w:spacing w:before="1"/>
      </w:pPr>
      <w:bookmarkStart w:id="7" w:name="_TOC_250003"/>
      <w:bookmarkEnd w:id="7"/>
      <w:r>
        <w:t>Показания к проведению вакцинации</w:t>
      </w:r>
    </w:p>
    <w:p w:rsidR="00F517A7" w:rsidRDefault="00FE1F1A">
      <w:pPr>
        <w:pStyle w:val="a3"/>
        <w:spacing w:before="38" w:line="276" w:lineRule="auto"/>
        <w:ind w:right="233" w:firstLine="708"/>
      </w:pPr>
      <w:r>
        <w:t>В соответствии с Национальным календарем России прививки против гемофильной инфекции типа b проводятся детям из групп риска (с иммунодефицитными состояниями или анатомическими дефектами, приводящими к резко повышенной опасности заболевания гемофильной инфе</w:t>
      </w:r>
      <w:r>
        <w:t>кцией; с онкогематологическими заболеваниями и/или длительно получающие иммуносупрессивную терапию; детям, рожденным от матерей с ВИЧ-инфекцией; детям с ВИЧ-инфекцией; детям, находящимся в домах ребенка).</w:t>
      </w:r>
    </w:p>
    <w:p w:rsidR="00F517A7" w:rsidRDefault="00FE1F1A">
      <w:pPr>
        <w:pStyle w:val="a3"/>
        <w:spacing w:line="276" w:lineRule="auto"/>
        <w:ind w:right="229" w:firstLine="708"/>
      </w:pPr>
      <w:r>
        <w:t>Необходимо соблюдать основные правила организации и</w:t>
      </w:r>
      <w:r>
        <w:t xml:space="preserve"> проведения иммунопрофилактики (СП 3.3.2342-08). Прививки проводятся в условиях прививочного кабинета. После вакцинации ребенок должен находиться под наблюдением  врача кабинета иммунопрофилактики не менее 30</w:t>
      </w:r>
      <w:r>
        <w:rPr>
          <w:spacing w:val="-5"/>
        </w:rPr>
        <w:t xml:space="preserve"> </w:t>
      </w:r>
      <w:r>
        <w:t>минут.</w:t>
      </w:r>
    </w:p>
    <w:p w:rsidR="00F517A7" w:rsidRDefault="00F517A7">
      <w:pPr>
        <w:pStyle w:val="a3"/>
        <w:spacing w:before="10"/>
        <w:ind w:left="0"/>
        <w:jc w:val="left"/>
        <w:rPr>
          <w:sz w:val="27"/>
        </w:rPr>
      </w:pPr>
    </w:p>
    <w:p w:rsidR="00F517A7" w:rsidRDefault="00FE1F1A">
      <w:pPr>
        <w:pStyle w:val="3"/>
      </w:pPr>
      <w:bookmarkStart w:id="8" w:name="_TOC_250002"/>
      <w:bookmarkEnd w:id="8"/>
      <w:r>
        <w:t>Пациенты, относящиеся к группе риска</w:t>
      </w:r>
    </w:p>
    <w:p w:rsidR="00F517A7" w:rsidRDefault="00FE1F1A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before="36" w:line="273" w:lineRule="auto"/>
        <w:ind w:right="236" w:hanging="360"/>
        <w:jc w:val="left"/>
        <w:rPr>
          <w:sz w:val="24"/>
        </w:rPr>
      </w:pPr>
      <w:r>
        <w:rPr>
          <w:sz w:val="24"/>
        </w:rPr>
        <w:t xml:space="preserve">с </w:t>
      </w:r>
      <w:r>
        <w:rPr>
          <w:sz w:val="24"/>
        </w:rPr>
        <w:t>иммунодефицитными состояниями, в т.ч. ВИЧ, онкологическими заболеваниями, получающие иммуносупрессивную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терапию;</w:t>
      </w:r>
    </w:p>
    <w:p w:rsidR="00F517A7" w:rsidRDefault="00FE1F1A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before="3"/>
        <w:ind w:left="929"/>
        <w:jc w:val="left"/>
        <w:rPr>
          <w:sz w:val="24"/>
        </w:rPr>
      </w:pPr>
      <w:r>
        <w:rPr>
          <w:sz w:val="24"/>
        </w:rPr>
        <w:t>с анатомической/функциональной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аспленией;</w:t>
      </w:r>
    </w:p>
    <w:p w:rsidR="00F517A7" w:rsidRDefault="00FE1F1A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before="39"/>
        <w:ind w:left="929"/>
        <w:jc w:val="left"/>
        <w:rPr>
          <w:sz w:val="24"/>
        </w:rPr>
      </w:pPr>
      <w:r>
        <w:rPr>
          <w:sz w:val="24"/>
        </w:rPr>
        <w:t>недоношенные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дети;</w:t>
      </w:r>
    </w:p>
    <w:p w:rsidR="00F517A7" w:rsidRDefault="00FE1F1A">
      <w:pPr>
        <w:pStyle w:val="a4"/>
        <w:numPr>
          <w:ilvl w:val="0"/>
          <w:numId w:val="2"/>
        </w:numPr>
        <w:tabs>
          <w:tab w:val="left" w:pos="929"/>
          <w:tab w:val="left" w:pos="930"/>
          <w:tab w:val="left" w:pos="1679"/>
          <w:tab w:val="left" w:pos="3226"/>
          <w:tab w:val="left" w:pos="3545"/>
          <w:tab w:val="left" w:pos="4502"/>
          <w:tab w:val="left" w:pos="6382"/>
          <w:tab w:val="left" w:pos="7934"/>
          <w:tab w:val="left" w:pos="9011"/>
        </w:tabs>
        <w:spacing w:before="42" w:line="273" w:lineRule="auto"/>
        <w:ind w:right="233" w:hanging="360"/>
        <w:jc w:val="left"/>
        <w:rPr>
          <w:sz w:val="24"/>
        </w:rPr>
      </w:pPr>
      <w:r>
        <w:rPr>
          <w:sz w:val="24"/>
        </w:rPr>
        <w:t>лица,</w:t>
      </w:r>
      <w:r>
        <w:rPr>
          <w:sz w:val="24"/>
        </w:rPr>
        <w:tab/>
        <w:t>находящиеся</w:t>
      </w:r>
      <w:r>
        <w:rPr>
          <w:sz w:val="24"/>
        </w:rPr>
        <w:tab/>
        <w:t>в</w:t>
      </w:r>
      <w:r>
        <w:rPr>
          <w:sz w:val="24"/>
        </w:rPr>
        <w:tab/>
        <w:t>особых</w:t>
      </w:r>
      <w:r>
        <w:rPr>
          <w:sz w:val="24"/>
        </w:rPr>
        <w:tab/>
        <w:t>организованных</w:t>
      </w:r>
      <w:r>
        <w:rPr>
          <w:sz w:val="24"/>
        </w:rPr>
        <w:tab/>
        <w:t>учреждениях</w:t>
      </w:r>
      <w:r>
        <w:rPr>
          <w:sz w:val="24"/>
        </w:rPr>
        <w:tab/>
        <w:t>(детские</w:t>
      </w:r>
      <w:r>
        <w:rPr>
          <w:sz w:val="24"/>
        </w:rPr>
        <w:tab/>
      </w:r>
      <w:r>
        <w:rPr>
          <w:spacing w:val="-5"/>
          <w:sz w:val="24"/>
        </w:rPr>
        <w:t xml:space="preserve">дома, </w:t>
      </w:r>
      <w:r>
        <w:rPr>
          <w:sz w:val="24"/>
        </w:rPr>
        <w:t>интернаты, армейские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коллективы);</w:t>
      </w:r>
    </w:p>
    <w:p w:rsidR="00F517A7" w:rsidRDefault="00FE1F1A">
      <w:pPr>
        <w:pStyle w:val="a4"/>
        <w:numPr>
          <w:ilvl w:val="0"/>
          <w:numId w:val="2"/>
        </w:numPr>
        <w:tabs>
          <w:tab w:val="left" w:pos="989"/>
          <w:tab w:val="left" w:pos="990"/>
        </w:tabs>
        <w:spacing w:before="3"/>
        <w:ind w:left="989" w:hanging="408"/>
        <w:jc w:val="left"/>
        <w:rPr>
          <w:sz w:val="24"/>
        </w:rPr>
      </w:pPr>
      <w:r>
        <w:rPr>
          <w:sz w:val="24"/>
        </w:rPr>
        <w:t>с установленным кохлеарным имплантом или планирующиеся на эту</w:t>
      </w:r>
      <w:r>
        <w:rPr>
          <w:spacing w:val="-21"/>
          <w:sz w:val="24"/>
        </w:rPr>
        <w:t xml:space="preserve"> </w:t>
      </w:r>
      <w:r>
        <w:rPr>
          <w:sz w:val="24"/>
        </w:rPr>
        <w:t>операцию;</w:t>
      </w:r>
    </w:p>
    <w:p w:rsidR="00F517A7" w:rsidRDefault="00FE1F1A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before="40"/>
        <w:ind w:left="929"/>
        <w:jc w:val="left"/>
        <w:rPr>
          <w:sz w:val="24"/>
        </w:rPr>
      </w:pPr>
      <w:r>
        <w:rPr>
          <w:sz w:val="24"/>
        </w:rPr>
        <w:t>пациенты с подтеканием спинномозговой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жидкости;</w:t>
      </w:r>
    </w:p>
    <w:p w:rsidR="00F517A7" w:rsidRDefault="00FE1F1A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before="40" w:line="273" w:lineRule="auto"/>
        <w:ind w:right="228" w:hanging="360"/>
        <w:jc w:val="left"/>
        <w:rPr>
          <w:sz w:val="24"/>
        </w:rPr>
      </w:pPr>
      <w:r>
        <w:rPr>
          <w:sz w:val="24"/>
        </w:rPr>
        <w:t>с хроническими заболеваниями легких, сердечно-сосудистой системы, печени, почек и сахарным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диабетом;</w:t>
      </w:r>
    </w:p>
    <w:p w:rsidR="00F517A7" w:rsidRDefault="00FE1F1A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before="3"/>
        <w:ind w:left="929"/>
        <w:jc w:val="left"/>
        <w:rPr>
          <w:sz w:val="24"/>
        </w:rPr>
      </w:pPr>
      <w:r>
        <w:rPr>
          <w:sz w:val="24"/>
        </w:rPr>
        <w:t>б</w:t>
      </w:r>
      <w:r>
        <w:rPr>
          <w:sz w:val="24"/>
        </w:rPr>
        <w:t>ольные бронхиальной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астмой;</w:t>
      </w:r>
    </w:p>
    <w:p w:rsidR="00F517A7" w:rsidRDefault="00FE1F1A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before="39"/>
        <w:ind w:left="929"/>
        <w:jc w:val="left"/>
        <w:rPr>
          <w:sz w:val="24"/>
        </w:rPr>
      </w:pPr>
      <w:r>
        <w:rPr>
          <w:sz w:val="24"/>
        </w:rPr>
        <w:t>реконвалесценты острого среднего отита, менингита,</w:t>
      </w:r>
      <w:r>
        <w:rPr>
          <w:spacing w:val="-5"/>
          <w:sz w:val="24"/>
        </w:rPr>
        <w:t xml:space="preserve"> </w:t>
      </w:r>
      <w:r>
        <w:rPr>
          <w:sz w:val="24"/>
        </w:rPr>
        <w:t>пневмонии;</w:t>
      </w:r>
    </w:p>
    <w:p w:rsidR="00F517A7" w:rsidRDefault="00FE1F1A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before="42"/>
        <w:ind w:left="929"/>
        <w:jc w:val="left"/>
        <w:rPr>
          <w:sz w:val="24"/>
        </w:rPr>
      </w:pPr>
      <w:r>
        <w:rPr>
          <w:sz w:val="24"/>
        </w:rPr>
        <w:t>длительно и часто болеющие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дети;</w:t>
      </w:r>
    </w:p>
    <w:p w:rsidR="00F517A7" w:rsidRDefault="00FE1F1A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before="40"/>
        <w:ind w:left="929"/>
        <w:jc w:val="left"/>
        <w:rPr>
          <w:sz w:val="24"/>
        </w:rPr>
      </w:pPr>
      <w:r>
        <w:rPr>
          <w:sz w:val="24"/>
        </w:rPr>
        <w:t>пациенты, инфицированные микобактерией</w:t>
      </w:r>
      <w:r>
        <w:rPr>
          <w:spacing w:val="-6"/>
          <w:sz w:val="24"/>
        </w:rPr>
        <w:t xml:space="preserve"> </w:t>
      </w:r>
      <w:r>
        <w:rPr>
          <w:sz w:val="24"/>
        </w:rPr>
        <w:t>туберкулеза.</w:t>
      </w:r>
    </w:p>
    <w:p w:rsidR="00F517A7" w:rsidRDefault="00F517A7">
      <w:pPr>
        <w:rPr>
          <w:sz w:val="24"/>
        </w:rPr>
        <w:sectPr w:rsidR="00F517A7">
          <w:pgSz w:w="11910" w:h="16840"/>
          <w:pgMar w:top="1040" w:right="620" w:bottom="1200" w:left="1480" w:header="0" w:footer="1005" w:gutter="0"/>
          <w:cols w:space="720"/>
        </w:sectPr>
      </w:pPr>
    </w:p>
    <w:p w:rsidR="00F517A7" w:rsidRDefault="00FE1F1A">
      <w:pPr>
        <w:spacing w:before="68" w:line="276" w:lineRule="auto"/>
        <w:ind w:left="221" w:right="230" w:firstLine="720"/>
        <w:jc w:val="both"/>
        <w:rPr>
          <w:i/>
          <w:sz w:val="24"/>
        </w:rPr>
      </w:pPr>
      <w:r>
        <w:rPr>
          <w:i/>
          <w:sz w:val="24"/>
        </w:rPr>
        <w:lastRenderedPageBreak/>
        <w:t>Вакцинация детей и взрослых с иммунодефицитными состояниями или анатомическими дефектами, приводящими к высокому риску гемофильной инфекции типа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</w:t>
      </w:r>
    </w:p>
    <w:p w:rsidR="00F517A7" w:rsidRDefault="00FE1F1A">
      <w:pPr>
        <w:pStyle w:val="a3"/>
        <w:spacing w:before="1" w:line="276" w:lineRule="auto"/>
        <w:ind w:right="225" w:firstLine="708"/>
      </w:pPr>
      <w:r>
        <w:t>У лиц из данной группы вероятность заболевания различными формами гемофильной инфекции типа b, может в тысячи</w:t>
      </w:r>
      <w:r>
        <w:t xml:space="preserve"> раз превышать вероятность заболевания здоровых детей, причем неоднократно. Вакцинацию рекомендуется осуществлять однократно моновакциной после выявления одного из вышеуказанных состояний в возрасте старше 1 года. Если спленэктомия или сопровождающаяся имм</w:t>
      </w:r>
      <w:r>
        <w:t>уносупрессией пересадка почек, костного мозга и других органов является плановой, рекомендуется вакцинация за 10-15 дней до операции [13]. Через 5-10 лет по результатам клинических наблюдений и лабораторных исследований может быть рассмотрена возможность п</w:t>
      </w:r>
      <w:r>
        <w:t>роведения ревакцинации. Следует учитывать, что протективная эффективность вакцинации лиц с такими серьезными иммунологическими и анатомическими дефектами не абсолютна: первичные или повторные заболевания гемофильной инфекцией типа b возможны и после провед</w:t>
      </w:r>
      <w:r>
        <w:t>ения вакцинации, что не отменяет целесообразность вакцинации данной группы лиц, поскольку в среднем вероятность заболевания  данным инфекционным заболеванием снижается [11,</w:t>
      </w:r>
      <w:r>
        <w:rPr>
          <w:spacing w:val="-1"/>
        </w:rPr>
        <w:t xml:space="preserve"> </w:t>
      </w:r>
      <w:r>
        <w:t>13].</w:t>
      </w:r>
    </w:p>
    <w:p w:rsidR="00F517A7" w:rsidRDefault="00FE1F1A">
      <w:pPr>
        <w:spacing w:before="2"/>
        <w:ind w:left="929"/>
        <w:rPr>
          <w:i/>
          <w:sz w:val="24"/>
        </w:rPr>
      </w:pPr>
      <w:r>
        <w:rPr>
          <w:i/>
          <w:sz w:val="24"/>
        </w:rPr>
        <w:t>Вакцинация ВИЧ-инфицированных</w:t>
      </w:r>
    </w:p>
    <w:p w:rsidR="00F517A7" w:rsidRDefault="00FE1F1A">
      <w:pPr>
        <w:pStyle w:val="a3"/>
        <w:spacing w:before="41" w:line="276" w:lineRule="auto"/>
        <w:ind w:right="226" w:firstLine="720"/>
      </w:pPr>
      <w:r>
        <w:t>Несмотря на необходимость вакцинации пациентов с</w:t>
      </w:r>
      <w:r>
        <w:t xml:space="preserve"> ВИЧ-инфекцией, следует помнить, что ожидаемый иммунологический ответ может не достигаться. Вакцинация проводится детям, рожденным ВИЧ-инфицированными матерями, в том числе ВИЧ- инфицированным детям, вне зависимости от стадии заболевания и числа CD4+ лимфо</w:t>
      </w:r>
      <w:r>
        <w:t>цитов по схеме, соответствующей возрасту ребенка, в период ремиссии и отсутствия острого инфекционного заболевания, сопровождающегося повышением температуры тела. Проведение, по клиническим и лабораторным показаниям, антиретровирусной терапии улучшает отве</w:t>
      </w:r>
      <w:r>
        <w:t>т на последующую иммунизацию</w:t>
      </w:r>
      <w:r>
        <w:rPr>
          <w:spacing w:val="-7"/>
        </w:rPr>
        <w:t xml:space="preserve"> </w:t>
      </w:r>
      <w:r>
        <w:t>[14].</w:t>
      </w:r>
    </w:p>
    <w:p w:rsidR="00F517A7" w:rsidRDefault="00FE1F1A">
      <w:pPr>
        <w:ind w:left="929"/>
        <w:rPr>
          <w:i/>
          <w:sz w:val="24"/>
        </w:rPr>
      </w:pPr>
      <w:r>
        <w:rPr>
          <w:i/>
          <w:sz w:val="24"/>
        </w:rPr>
        <w:t>Вакцинация детей с онкологическими заболеваниями</w:t>
      </w:r>
    </w:p>
    <w:p w:rsidR="00F517A7" w:rsidRDefault="00FE1F1A">
      <w:pPr>
        <w:pStyle w:val="a3"/>
        <w:spacing w:before="41" w:line="276" w:lineRule="auto"/>
        <w:ind w:right="228" w:firstLine="708"/>
      </w:pPr>
      <w:r>
        <w:t>В ряде исследований иммунологического статуса у пациентов с острым лимфобластным лейкозом (ОЛЛ) в остром периоде и периоде ремиссии показаны нарушения в системе клеточного иммунитета, что приводит к повышенной чувствительности больных ОЛЛ к инфекционным аг</w:t>
      </w:r>
      <w:r>
        <w:t>ентам. Проводимая цитостатическая терапия углубляет имеющиеся нарушения и способствует развитию иммунодефицитов, которые могут сохраняться некоторое время после ее отмены, что может приводить к большей восприимчивости к инфекционным агентам у больных ОЛЛ д</w:t>
      </w:r>
      <w:r>
        <w:t>аже в периоде ремиссии.</w:t>
      </w:r>
    </w:p>
    <w:p w:rsidR="00F517A7" w:rsidRDefault="00FE1F1A">
      <w:pPr>
        <w:pStyle w:val="a3"/>
        <w:spacing w:line="276" w:lineRule="auto"/>
        <w:ind w:right="227" w:firstLine="708"/>
      </w:pPr>
      <w:r>
        <w:t>В работах зарубежных авторов было показано, что детям на фоне проводимой цитостатической терапии можно применять различные инактивированные вакцины, в том числе против гемофильной инфекции типа b. Доказано, что через 1 месяц после р</w:t>
      </w:r>
      <w:r>
        <w:t>евакцинации у 84% привитых присутствовали антитела к гемофильной палочке типа b. Однако необходимо помнить, что не у всех лиц, получающих иммуносупрессивную терапию, достигается адекватный иммунный ответ [8].</w:t>
      </w:r>
    </w:p>
    <w:p w:rsidR="00F517A7" w:rsidRDefault="00FE1F1A">
      <w:pPr>
        <w:spacing w:line="275" w:lineRule="exact"/>
        <w:ind w:left="929"/>
        <w:rPr>
          <w:i/>
          <w:sz w:val="24"/>
        </w:rPr>
      </w:pPr>
      <w:r>
        <w:rPr>
          <w:i/>
          <w:sz w:val="24"/>
        </w:rPr>
        <w:t>Вакцинация недоношенных детей</w:t>
      </w:r>
    </w:p>
    <w:p w:rsidR="00F517A7" w:rsidRDefault="00FE1F1A">
      <w:pPr>
        <w:pStyle w:val="a3"/>
        <w:spacing w:before="43" w:line="276" w:lineRule="auto"/>
        <w:ind w:right="227" w:firstLine="708"/>
      </w:pPr>
      <w:r>
        <w:t>Как моновалентные</w:t>
      </w:r>
      <w:r>
        <w:t xml:space="preserve"> вакцины против гемофильной инфекции, так и комбинированные могут применяться недоношенным детям, однако у таких пациентов может быть более низкий иммунный ответ. Необходимо учитывать потенциальный риск</w:t>
      </w:r>
    </w:p>
    <w:p w:rsidR="00F517A7" w:rsidRDefault="00F517A7">
      <w:pPr>
        <w:spacing w:line="276" w:lineRule="auto"/>
        <w:sectPr w:rsidR="00F517A7">
          <w:pgSz w:w="11910" w:h="16840"/>
          <w:pgMar w:top="1040" w:right="620" w:bottom="1200" w:left="1480" w:header="0" w:footer="1005" w:gutter="0"/>
          <w:cols w:space="720"/>
        </w:sectPr>
      </w:pPr>
    </w:p>
    <w:p w:rsidR="00F517A7" w:rsidRDefault="00FE1F1A">
      <w:pPr>
        <w:pStyle w:val="a3"/>
        <w:spacing w:before="68" w:line="276" w:lineRule="auto"/>
        <w:ind w:right="231"/>
      </w:pPr>
      <w:r>
        <w:lastRenderedPageBreak/>
        <w:t xml:space="preserve">апноэ и необходимость наблюдения и </w:t>
      </w:r>
      <w:r>
        <w:t>мониторинга дыхательной функции в течение 72 часов при первичной вакцинации детей, родившихся преждевременно (</w:t>
      </w:r>
      <w:r>
        <w:rPr>
          <w:u w:val="single"/>
        </w:rPr>
        <w:t>&lt;</w:t>
      </w:r>
      <w:r>
        <w:t>28 недель гестации) и, особенно, пациентов с респираторным дистресс-синдромом.</w:t>
      </w:r>
    </w:p>
    <w:p w:rsidR="00F517A7" w:rsidRDefault="00FE1F1A">
      <w:pPr>
        <w:spacing w:before="1"/>
        <w:ind w:left="929"/>
        <w:rPr>
          <w:i/>
          <w:sz w:val="24"/>
        </w:rPr>
      </w:pPr>
      <w:r>
        <w:rPr>
          <w:i/>
          <w:sz w:val="24"/>
        </w:rPr>
        <w:t>Вакцинация детей с аллергическими заболеваниями</w:t>
      </w:r>
    </w:p>
    <w:p w:rsidR="00F517A7" w:rsidRDefault="00FE1F1A">
      <w:pPr>
        <w:pStyle w:val="a3"/>
        <w:spacing w:before="41" w:line="276" w:lineRule="auto"/>
        <w:ind w:right="227" w:firstLine="708"/>
      </w:pPr>
      <w:r>
        <w:t>Вакцинация детей с аллергической патологией проводится только в кабинетах иммунопрофилактики при наличии средств противошоковой терапии. Вакцинация осуществляется вне обострения аллергического заболевания (для пациентов с поллинозом следует учитывать сроки</w:t>
      </w:r>
      <w:r>
        <w:t xml:space="preserve"> цветения), на фоне базисной терапии, гипоаллергенной диеты (с исключением продуктов, на которые ранее отмечалась аллергическая реакция, а также облигатных аллергенов), антигистаминных препаратов за 1-2 недели до и после иммунизации [15].</w:t>
      </w:r>
    </w:p>
    <w:p w:rsidR="00F517A7" w:rsidRDefault="00F517A7">
      <w:pPr>
        <w:pStyle w:val="a3"/>
        <w:ind w:left="0"/>
        <w:jc w:val="left"/>
        <w:rPr>
          <w:sz w:val="28"/>
        </w:rPr>
      </w:pPr>
    </w:p>
    <w:p w:rsidR="00F517A7" w:rsidRDefault="00FE1F1A">
      <w:pPr>
        <w:pStyle w:val="3"/>
      </w:pPr>
      <w:r>
        <w:t>Противопоказания</w:t>
      </w:r>
      <w:r>
        <w:t xml:space="preserve"> к вакцинации</w:t>
      </w:r>
    </w:p>
    <w:p w:rsidR="00F517A7" w:rsidRDefault="00FE1F1A">
      <w:pPr>
        <w:pStyle w:val="a3"/>
        <w:spacing w:before="39" w:line="276" w:lineRule="auto"/>
        <w:ind w:right="226" w:firstLine="708"/>
      </w:pPr>
      <w:r>
        <w:t>Противопоказаниями являются повышенная чувствительность к компонентам вакцины, включая столбнячный анатоксин (или другой белок-носитель); развитие тяжелых системных аллергических реакций или поствакцинальных осложнений на предшествовавшее вве</w:t>
      </w:r>
      <w:r>
        <w:t xml:space="preserve">дение вакцины </w:t>
      </w:r>
      <w:r>
        <w:rPr>
          <w:i/>
        </w:rPr>
        <w:t xml:space="preserve">Haemophilus influenzae </w:t>
      </w:r>
      <w:r>
        <w:t>типа</w:t>
      </w:r>
      <w:r>
        <w:rPr>
          <w:spacing w:val="-4"/>
        </w:rPr>
        <w:t xml:space="preserve"> </w:t>
      </w:r>
      <w:r>
        <w:t>b.</w:t>
      </w:r>
    </w:p>
    <w:p w:rsidR="00F517A7" w:rsidRDefault="00FE1F1A">
      <w:pPr>
        <w:pStyle w:val="a3"/>
        <w:spacing w:line="276" w:lineRule="auto"/>
        <w:ind w:right="233" w:firstLine="708"/>
      </w:pPr>
      <w:r>
        <w:t>Острые инфекционные и неинфекционные заболевания, а также обострения хронических заболеваний являются временными противопоказаниями, иммунизация проводится через 1-2 недели после выздоровления или в период рекон</w:t>
      </w:r>
      <w:r>
        <w:t>валесценции или ремиссии. При легких формах респираторных, кишечных и других инфекций прививки можно проводить после нормализации температуры.</w:t>
      </w:r>
    </w:p>
    <w:p w:rsidR="00F517A7" w:rsidRDefault="00FE1F1A">
      <w:pPr>
        <w:pStyle w:val="a3"/>
        <w:spacing w:line="276" w:lineRule="auto"/>
        <w:ind w:right="225" w:firstLine="708"/>
      </w:pPr>
      <w:r>
        <w:rPr>
          <w:i/>
        </w:rPr>
        <w:t xml:space="preserve">Противопоказания для комбинированных вакцин, содержащих коклюшный компонент: </w:t>
      </w:r>
      <w:r>
        <w:t>прогрессирующая энцефалопатия; энцеф</w:t>
      </w:r>
      <w:r>
        <w:t xml:space="preserve">алопатия, развившаяся в течение 7 дней после введения любой вакцины, содержащей антигены </w:t>
      </w:r>
      <w:r>
        <w:rPr>
          <w:i/>
        </w:rPr>
        <w:t>Bordetella pertussis</w:t>
      </w:r>
      <w:r>
        <w:t xml:space="preserve">; подтвержденная системная реакция гиперчувствительности к глютеральдегиду, неомицину, стрептомицину и полимиксину В (при вакцинации «Пентаксим»), </w:t>
      </w:r>
      <w:r>
        <w:t>гиперчувствительность к неомицину и полимиксину (при вакцинации «Инфанрикс Гекса»). С осторожностью применять вакцину при наличии в анамнезе фебрильных судорог, не связанных с предшествующей вакцинацией, необходимо следить за температурой тела в течение 48</w:t>
      </w:r>
      <w:r>
        <w:t xml:space="preserve"> часов после вакцинации и, при её повышении, применять жаропонижающие препараты.</w:t>
      </w:r>
    </w:p>
    <w:p w:rsidR="00F517A7" w:rsidRDefault="00F517A7">
      <w:pPr>
        <w:pStyle w:val="a3"/>
        <w:spacing w:before="9"/>
        <w:ind w:left="0"/>
        <w:jc w:val="left"/>
        <w:rPr>
          <w:sz w:val="27"/>
        </w:rPr>
      </w:pPr>
    </w:p>
    <w:p w:rsidR="00F517A7" w:rsidRDefault="00FE1F1A">
      <w:pPr>
        <w:pStyle w:val="3"/>
        <w:spacing w:before="1"/>
      </w:pPr>
      <w:bookmarkStart w:id="9" w:name="_TOC_250001"/>
      <w:bookmarkEnd w:id="9"/>
      <w:r>
        <w:t>Возможность одновременной вакцинации с другими вакцинами</w:t>
      </w:r>
    </w:p>
    <w:p w:rsidR="00F517A7" w:rsidRDefault="00FE1F1A">
      <w:pPr>
        <w:pStyle w:val="a3"/>
        <w:spacing w:before="38" w:line="276" w:lineRule="auto"/>
        <w:ind w:right="227" w:firstLine="708"/>
      </w:pPr>
      <w:r>
        <w:t>Вакцины против гемофильной инфекции типа b можно вводить одновременно с любыми другими вакцинами, входящими в национа</w:t>
      </w:r>
      <w:r>
        <w:t>льные календари вакцинации (кроме БЦЖ-вакцины). При одновременном введении всех указанных вакцин (разными шприцами и в разные участки тела) иммунный ответ бывает таким же, как и при изолированном их введении, при этом не возрастает число побочных реакций и</w:t>
      </w:r>
      <w:r>
        <w:t xml:space="preserve"> осложнений.</w:t>
      </w:r>
    </w:p>
    <w:p w:rsidR="00F517A7" w:rsidRDefault="00FE1F1A">
      <w:pPr>
        <w:pStyle w:val="a3"/>
        <w:spacing w:line="275" w:lineRule="exact"/>
        <w:ind w:left="929"/>
        <w:jc w:val="left"/>
      </w:pPr>
      <w:r>
        <w:t>Данные об эффективности и безопасности одновременного применения вакцины</w:t>
      </w:r>
    </w:p>
    <w:p w:rsidR="00F517A7" w:rsidRDefault="00FE1F1A">
      <w:pPr>
        <w:pStyle w:val="a3"/>
        <w:spacing w:before="41" w:line="276" w:lineRule="auto"/>
        <w:ind w:right="233"/>
      </w:pPr>
      <w:r>
        <w:rPr>
          <w:i/>
        </w:rPr>
        <w:t xml:space="preserve">«Инфанрикс Гекса» </w:t>
      </w:r>
      <w:r>
        <w:t>и вакцины против кори, краснухи и паротита в настоящее время отсутствуют. При одновременном использовании данной вакцины с конъюгированной пневмококково</w:t>
      </w:r>
      <w:r>
        <w:t>й 13-валентной вакциной «Превенар» была зарегистрирована более высокая частота лихорадки (&gt;39,5</w:t>
      </w:r>
      <w:r>
        <w:rPr>
          <w:vertAlign w:val="superscript"/>
        </w:rPr>
        <w:t>0</w:t>
      </w:r>
      <w:r>
        <w:t>) по сравнению с раздельным их</w:t>
      </w:r>
      <w:r>
        <w:rPr>
          <w:spacing w:val="-11"/>
        </w:rPr>
        <w:t xml:space="preserve"> </w:t>
      </w:r>
      <w:r>
        <w:t>введением.</w:t>
      </w:r>
    </w:p>
    <w:p w:rsidR="00F517A7" w:rsidRDefault="00F517A7">
      <w:pPr>
        <w:spacing w:line="276" w:lineRule="auto"/>
        <w:sectPr w:rsidR="00F517A7">
          <w:pgSz w:w="11910" w:h="16840"/>
          <w:pgMar w:top="1040" w:right="620" w:bottom="1200" w:left="1480" w:header="0" w:footer="1005" w:gutter="0"/>
          <w:cols w:space="720"/>
        </w:sectPr>
      </w:pPr>
    </w:p>
    <w:p w:rsidR="00F517A7" w:rsidRDefault="00FE1F1A">
      <w:pPr>
        <w:pStyle w:val="3"/>
        <w:spacing w:before="72"/>
      </w:pPr>
      <w:bookmarkStart w:id="10" w:name="_TOC_250000"/>
      <w:bookmarkEnd w:id="10"/>
      <w:r>
        <w:lastRenderedPageBreak/>
        <w:t>Поствакцинальные реакции</w:t>
      </w:r>
    </w:p>
    <w:p w:rsidR="00F517A7" w:rsidRDefault="00FE1F1A">
      <w:pPr>
        <w:pStyle w:val="a3"/>
        <w:spacing w:before="36" w:line="276" w:lineRule="auto"/>
        <w:ind w:right="225" w:firstLine="708"/>
      </w:pPr>
      <w:r>
        <w:t>Все моновалентные вакцины против гемофильной палочки типа b слабореактогенны. Нежелательные реакции проявляются не более чем у 1% вакцинированных в течение 6-24 часов после проведения прививки, характеризуются как слабые или средней тяжести. При последующи</w:t>
      </w:r>
      <w:r>
        <w:t>х вакцинациях в рамках первичного курса частота и тяжесть поствакцинальных реакций не увеличивается. Самыми частыми их них (</w:t>
      </w:r>
      <w:r>
        <w:rPr>
          <w:u w:val="single"/>
        </w:rPr>
        <w:t>&gt;</w:t>
      </w:r>
      <w:r>
        <w:t>1/10) являются повышение температуры тела, раздражительность и рвота. Часто – нечасто (</w:t>
      </w:r>
      <w:r>
        <w:rPr>
          <w:u w:val="single"/>
        </w:rPr>
        <w:t>&gt;</w:t>
      </w:r>
      <w:r>
        <w:t xml:space="preserve">1/100 до &lt;1/10 - </w:t>
      </w:r>
      <w:r>
        <w:rPr>
          <w:u w:val="single"/>
        </w:rPr>
        <w:t>&gt;</w:t>
      </w:r>
      <w:r>
        <w:t>1/1000 до 1/100) регистри</w:t>
      </w:r>
      <w:r>
        <w:t>руется лихорадка выше 38</w:t>
      </w:r>
      <w:r>
        <w:rPr>
          <w:vertAlign w:val="superscript"/>
        </w:rPr>
        <w:t>0</w:t>
      </w:r>
      <w:r>
        <w:t>С, длительный аномальный плач, болезненность, покраснение, отек и/или воспаление, уплотнение в месте инъекции. Крайне редко (&lt;1/10 000) регистрируются системные аллергические реакции (анафилактический шок, отек лица, гортани), крап</w:t>
      </w:r>
      <w:r>
        <w:t>ивница, сыпь, гипотонически-гипореактивный эпизод, апноэ, судороги, обморок, сонливость, выраженный отек (&gt;5 см) в месте инъекции.</w:t>
      </w:r>
    </w:p>
    <w:p w:rsidR="00F517A7" w:rsidRDefault="00FE1F1A">
      <w:pPr>
        <w:pStyle w:val="a3"/>
        <w:spacing w:before="1" w:line="276" w:lineRule="auto"/>
        <w:ind w:right="227" w:firstLine="708"/>
      </w:pPr>
      <w:r>
        <w:t xml:space="preserve">При иммунизации комбинированной вакциной </w:t>
      </w:r>
      <w:r>
        <w:rPr>
          <w:i/>
        </w:rPr>
        <w:t xml:space="preserve">«Пентаксим» </w:t>
      </w:r>
      <w:r>
        <w:t xml:space="preserve">чаще всего прививочные реакции проявляются гиперемией или уплотнением в </w:t>
      </w:r>
      <w:r>
        <w:t>месте введения, повышением температуры тела до субфебрильных цифр, температура выше 38°С отмечается не более, чем у 1% детей впервые 48 часов после вакцинации. Лихорадка  выше 38</w:t>
      </w:r>
      <w:r>
        <w:rPr>
          <w:vertAlign w:val="superscript"/>
        </w:rPr>
        <w:t>0</w:t>
      </w:r>
      <w:r>
        <w:t>С (ректальная температура) регистрируется с частотой 1-10%; выше 39</w:t>
      </w:r>
      <w:r>
        <w:rPr>
          <w:vertAlign w:val="superscript"/>
        </w:rPr>
        <w:t>0</w:t>
      </w:r>
      <w:r>
        <w:t>С – с час</w:t>
      </w:r>
      <w:r>
        <w:t>тотой 0,1-1%; свыше 40</w:t>
      </w:r>
      <w:r>
        <w:rPr>
          <w:vertAlign w:val="superscript"/>
        </w:rPr>
        <w:t>0</w:t>
      </w:r>
      <w:r>
        <w:t>С – у 0,01-0,1% привитых детей. Также отмечаются раздражительность, сонливость, нарушения сна, анорексия, диарея, рвота, реже – длительный плач. В очень редких случаях (&lt;0,01%) случаях отмечались крапивница, фебрильные судороги, гипо</w:t>
      </w:r>
      <w:r>
        <w:t>тония и гипотонический-гипореактивный синдром, анафилактические</w:t>
      </w:r>
      <w:r>
        <w:rPr>
          <w:spacing w:val="-2"/>
        </w:rPr>
        <w:t xml:space="preserve"> </w:t>
      </w:r>
      <w:r>
        <w:t>реакции.</w:t>
      </w:r>
    </w:p>
    <w:p w:rsidR="00F517A7" w:rsidRDefault="00FE1F1A">
      <w:pPr>
        <w:pStyle w:val="a3"/>
        <w:spacing w:line="276" w:lineRule="auto"/>
        <w:ind w:right="228" w:firstLine="708"/>
      </w:pPr>
      <w:r>
        <w:t>Редко отмечались случаи отека нижних конечностей в течение нескольких часов после первичной иммунизации, что сопровождалось лихорадкой, болезненностью, длительным плачем, цианозом или</w:t>
      </w:r>
      <w:r>
        <w:t xml:space="preserve"> изменением цвета кожи, реже – покраснением, петехиями и преходящей пурпурой, сыпью.</w:t>
      </w:r>
    </w:p>
    <w:p w:rsidR="00F517A7" w:rsidRDefault="00FE1F1A">
      <w:pPr>
        <w:pStyle w:val="a3"/>
        <w:spacing w:line="276" w:lineRule="auto"/>
        <w:ind w:right="228" w:firstLine="708"/>
      </w:pPr>
      <w:r>
        <w:t xml:space="preserve">Нежелательные реакции при вакцинации </w:t>
      </w:r>
      <w:r>
        <w:rPr>
          <w:i/>
        </w:rPr>
        <w:t xml:space="preserve">«Инфанрикс Гекса» </w:t>
      </w:r>
      <w:r>
        <w:t>наиболее часто (</w:t>
      </w:r>
      <w:r>
        <w:rPr>
          <w:u w:val="single"/>
        </w:rPr>
        <w:t>&gt;</w:t>
      </w:r>
      <w:r>
        <w:t>1/10) включают следующие: беспокойство, необычный плач, раздражительность, потеря аппетита, лихорад</w:t>
      </w:r>
      <w:r>
        <w:t>ка 38</w:t>
      </w:r>
      <w:r>
        <w:rPr>
          <w:vertAlign w:val="superscript"/>
        </w:rPr>
        <w:t>0</w:t>
      </w:r>
      <w:r>
        <w:t>С, утомляемость, болезненность, покраснение и отек в месте инъекции (</w:t>
      </w:r>
      <w:r>
        <w:rPr>
          <w:u w:val="single"/>
        </w:rPr>
        <w:t>&lt;</w:t>
      </w:r>
      <w:r>
        <w:t>50 мм). Часто (</w:t>
      </w:r>
      <w:r>
        <w:rPr>
          <w:u w:val="single"/>
        </w:rPr>
        <w:t>&gt;</w:t>
      </w:r>
      <w:r>
        <w:t>1/100 и &lt;1/10) регистрируются возбудимость и высокая лихорадка &gt;39,5</w:t>
      </w:r>
      <w:r>
        <w:rPr>
          <w:vertAlign w:val="superscript"/>
        </w:rPr>
        <w:t>0</w:t>
      </w:r>
      <w:r>
        <w:t>C, рвота, диарея, зуд, отек и уплотнение в месте инъекции (&gt;50 мм). Нечасто/ редко (</w:t>
      </w:r>
      <w:r>
        <w:rPr>
          <w:u w:val="single"/>
        </w:rPr>
        <w:t>&gt;</w:t>
      </w:r>
      <w:r>
        <w:t xml:space="preserve">1/1 000 и </w:t>
      </w:r>
      <w:r>
        <w:t xml:space="preserve">&lt;1/1000 до </w:t>
      </w:r>
      <w:r>
        <w:rPr>
          <w:u w:val="single"/>
        </w:rPr>
        <w:t>&gt;</w:t>
      </w:r>
      <w:r>
        <w:t>1/10 000 и &lt;1/1 000) встречаются такие поствакцинальные реакции как сонливость, инфекции верхних дыхательных путей, диффузный отек конечности, в которую произведена инъекция/бронхит, сыпь соответственно. Очень редко (&lt;1/10 000) в поствакцинальн</w:t>
      </w:r>
      <w:r>
        <w:t>ом периоде отмечаются судороги, дерматит, крапивница; единичные случаи зарегистрированы с развитием лимфоаденопатии, тромбоцитопении, аллергических системных реакций, коллапса и апноэ.</w:t>
      </w:r>
    </w:p>
    <w:p w:rsidR="00F517A7" w:rsidRDefault="00F517A7">
      <w:pPr>
        <w:pStyle w:val="a3"/>
        <w:spacing w:before="10"/>
        <w:ind w:left="0"/>
        <w:jc w:val="left"/>
        <w:rPr>
          <w:sz w:val="27"/>
        </w:rPr>
      </w:pPr>
    </w:p>
    <w:p w:rsidR="00F517A7" w:rsidRDefault="00FE1F1A">
      <w:pPr>
        <w:pStyle w:val="3"/>
      </w:pPr>
      <w:r>
        <w:t>Неспецифическая</w:t>
      </w:r>
      <w:r>
        <w:rPr>
          <w:spacing w:val="-14"/>
        </w:rPr>
        <w:t xml:space="preserve"> </w:t>
      </w:r>
      <w:r>
        <w:t>профилактика</w:t>
      </w:r>
    </w:p>
    <w:p w:rsidR="00F517A7" w:rsidRDefault="00FE1F1A">
      <w:pPr>
        <w:spacing w:before="39"/>
        <w:ind w:left="929"/>
        <w:rPr>
          <w:i/>
          <w:sz w:val="24"/>
        </w:rPr>
      </w:pPr>
      <w:r>
        <w:rPr>
          <w:i/>
          <w:sz w:val="24"/>
        </w:rPr>
        <w:t>Мероприятия в очаге инфекции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[8]</w:t>
      </w:r>
    </w:p>
    <w:p w:rsidR="00F517A7" w:rsidRDefault="00FE1F1A">
      <w:pPr>
        <w:pStyle w:val="a3"/>
        <w:spacing w:before="41" w:line="276" w:lineRule="auto"/>
        <w:ind w:right="232" w:firstLine="708"/>
      </w:pPr>
      <w:r>
        <w:t>Госпитал</w:t>
      </w:r>
      <w:r>
        <w:t>изация больного осуществляется по клиническим показаниям. Больные с менингитом или подозрением на менингит немедленно госпитализируются в</w:t>
      </w:r>
    </w:p>
    <w:p w:rsidR="00F517A7" w:rsidRDefault="00F517A7">
      <w:pPr>
        <w:spacing w:line="276" w:lineRule="auto"/>
        <w:sectPr w:rsidR="00F517A7">
          <w:pgSz w:w="11910" w:h="16840"/>
          <w:pgMar w:top="1360" w:right="620" w:bottom="1200" w:left="1480" w:header="0" w:footer="1005" w:gutter="0"/>
          <w:cols w:space="720"/>
        </w:sectPr>
      </w:pPr>
    </w:p>
    <w:p w:rsidR="00F517A7" w:rsidRDefault="00FE1F1A">
      <w:pPr>
        <w:pStyle w:val="a3"/>
        <w:spacing w:before="68" w:line="276" w:lineRule="auto"/>
        <w:ind w:right="227"/>
      </w:pPr>
      <w:r>
        <w:lastRenderedPageBreak/>
        <w:t>инфекционную больницу или специализированные отделения и боксы. Больные с пневмонией и другими клини</w:t>
      </w:r>
      <w:r>
        <w:t>ческими формами заболевания возможной гемофильной этиологии госпитализируются в зависимости от тяжести заболевания. Они могут лечиться на дому, если в семье или квартире отсутствуют другие дети младше 5 лет, при условии регулярного медицинского наблюдения.</w:t>
      </w:r>
      <w:r>
        <w:t xml:space="preserve"> Эпидемиологическое обследование в очаге направлено на выявление источников возбудителя инфекции и круга лиц любого возраста, подвергшихся риску заражения. Все лица, общавшиеся с больным в коллективе или семье, подвергаются медицинскому осмотру. Обращается</w:t>
      </w:r>
      <w:r>
        <w:t xml:space="preserve"> особое внимание на детей и взрослых с ОРЗ, отитами, назофарингитами, гайморитами. При выявлении таких детей в коллективе они изолируются на дому, а при выявлении в семьях – они не допускаются в детские коллективы до полного выздоровления. Взрослые больные</w:t>
      </w:r>
      <w:r>
        <w:t xml:space="preserve"> указанными заболеваниями освобождаются от работы до излечения. Здоровые дети и взрослые допускаются в организованные коллективы без ограничений. Бактериологическое обследование лиц, контактных с больным любой формой гемофильной инфекции типа b, не проводи</w:t>
      </w:r>
      <w:r>
        <w:t>тся.</w:t>
      </w:r>
    </w:p>
    <w:p w:rsidR="00F517A7" w:rsidRDefault="00FE1F1A">
      <w:pPr>
        <w:pStyle w:val="a3"/>
        <w:spacing w:before="2" w:line="276" w:lineRule="auto"/>
        <w:ind w:right="228" w:firstLine="708"/>
      </w:pPr>
      <w:r>
        <w:t>В детских дошкольных учреждениях и домах ребенка в группах, включающих детей моложе 5 лет, устанавливается карантин сроком на десять дней с момента изоляции больного гемофильной инфекцией типа b. В течение этого срока запрещается приём новых или време</w:t>
      </w:r>
      <w:r>
        <w:t>нно отсутствовавших детей, а также перевод детей и персонала в другие группы.</w:t>
      </w:r>
    </w:p>
    <w:p w:rsidR="00F517A7" w:rsidRDefault="00FE1F1A">
      <w:pPr>
        <w:pStyle w:val="a3"/>
        <w:spacing w:line="276" w:lineRule="auto"/>
        <w:ind w:right="237" w:firstLine="708"/>
      </w:pPr>
      <w:r>
        <w:t>В очаге организуются дезинфекционные мероприятия, как и при других острых бактериальных респираторных заболеваниях.</w:t>
      </w:r>
    </w:p>
    <w:p w:rsidR="00F517A7" w:rsidRDefault="00FE1F1A">
      <w:pPr>
        <w:pStyle w:val="a3"/>
        <w:spacing w:before="1" w:line="276" w:lineRule="auto"/>
        <w:ind w:right="227" w:firstLine="708"/>
      </w:pPr>
      <w:r>
        <w:t>В семьях и коллективах, где есть дети из "групп риска" (см. да</w:t>
      </w:r>
      <w:r>
        <w:t xml:space="preserve">лее), и в очагах, в которых в течение двух месяцев выявляется два и более случая инвазивной гемофильной инфекции типа b, в качестве меры экстренной профилактики показано антибиотикопрофилактика (рифампицин  -  20 мг/кг/сутки в 1-2 приема внутрь в течение  </w:t>
      </w:r>
      <w:r>
        <w:t>4 дней)</w:t>
      </w:r>
      <w:r>
        <w:rPr>
          <w:spacing w:val="-2"/>
        </w:rPr>
        <w:t xml:space="preserve"> </w:t>
      </w:r>
      <w:r>
        <w:t>[14].</w:t>
      </w:r>
    </w:p>
    <w:p w:rsidR="00F517A7" w:rsidRDefault="00FE1F1A">
      <w:pPr>
        <w:pStyle w:val="a3"/>
        <w:spacing w:line="276" w:lineRule="exact"/>
        <w:ind w:left="929"/>
        <w:jc w:val="left"/>
      </w:pPr>
      <w:r>
        <w:t>Выделяют следующие группы риска:</w:t>
      </w:r>
    </w:p>
    <w:p w:rsidR="00F517A7" w:rsidRDefault="00FE1F1A">
      <w:pPr>
        <w:pStyle w:val="a4"/>
        <w:numPr>
          <w:ilvl w:val="1"/>
          <w:numId w:val="2"/>
        </w:numPr>
        <w:tabs>
          <w:tab w:val="left" w:pos="1295"/>
        </w:tabs>
        <w:spacing w:before="41" w:line="276" w:lineRule="auto"/>
        <w:ind w:right="224" w:firstLine="708"/>
        <w:jc w:val="both"/>
        <w:rPr>
          <w:sz w:val="24"/>
        </w:rPr>
      </w:pPr>
      <w:r>
        <w:rPr>
          <w:sz w:val="24"/>
        </w:rPr>
        <w:t>Дети и взрослые с иммунодефицитами или анатомическими дефектами, приводящими к резко повышенной опасности заболевания гемофильной инфекцией типа b;</w:t>
      </w:r>
    </w:p>
    <w:p w:rsidR="00F517A7" w:rsidRDefault="00FE1F1A">
      <w:pPr>
        <w:pStyle w:val="a4"/>
        <w:numPr>
          <w:ilvl w:val="1"/>
          <w:numId w:val="2"/>
        </w:numPr>
        <w:tabs>
          <w:tab w:val="left" w:pos="1235"/>
        </w:tabs>
        <w:spacing w:line="276" w:lineRule="auto"/>
        <w:ind w:right="237" w:firstLine="708"/>
        <w:jc w:val="both"/>
        <w:rPr>
          <w:sz w:val="24"/>
        </w:rPr>
      </w:pPr>
      <w:r>
        <w:rPr>
          <w:sz w:val="24"/>
        </w:rPr>
        <w:t>Дети с онкогематологическими заболеваниями и/или длительно получающие иммуносупрессивную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терапию;</w:t>
      </w:r>
    </w:p>
    <w:p w:rsidR="00F517A7" w:rsidRDefault="00FE1F1A">
      <w:pPr>
        <w:pStyle w:val="a4"/>
        <w:numPr>
          <w:ilvl w:val="1"/>
          <w:numId w:val="2"/>
        </w:numPr>
        <w:tabs>
          <w:tab w:val="left" w:pos="1170"/>
        </w:tabs>
        <w:spacing w:line="275" w:lineRule="exact"/>
        <w:ind w:left="1169" w:hanging="240"/>
        <w:rPr>
          <w:sz w:val="24"/>
        </w:rPr>
      </w:pPr>
      <w:r>
        <w:rPr>
          <w:sz w:val="24"/>
        </w:rPr>
        <w:t>Дети ВИЧ-инфицированные или рожденные от ВИЧ-инфицированных</w:t>
      </w:r>
      <w:r>
        <w:rPr>
          <w:spacing w:val="-18"/>
          <w:sz w:val="24"/>
        </w:rPr>
        <w:t xml:space="preserve"> </w:t>
      </w:r>
      <w:r>
        <w:rPr>
          <w:sz w:val="24"/>
        </w:rPr>
        <w:t>матерей;</w:t>
      </w:r>
    </w:p>
    <w:p w:rsidR="00F517A7" w:rsidRDefault="00FE1F1A">
      <w:pPr>
        <w:pStyle w:val="a4"/>
        <w:numPr>
          <w:ilvl w:val="1"/>
          <w:numId w:val="2"/>
        </w:numPr>
        <w:tabs>
          <w:tab w:val="left" w:pos="1172"/>
        </w:tabs>
        <w:spacing w:before="41" w:line="276" w:lineRule="auto"/>
        <w:ind w:right="234" w:firstLine="708"/>
        <w:jc w:val="both"/>
        <w:rPr>
          <w:sz w:val="24"/>
        </w:rPr>
      </w:pPr>
      <w:r>
        <w:rPr>
          <w:sz w:val="24"/>
        </w:rPr>
        <w:t xml:space="preserve">Дети, находящиеся в закрытых детских дошкольных учреждениях (дома ребенка, детские дома, </w:t>
      </w:r>
      <w:r>
        <w:rPr>
          <w:sz w:val="24"/>
        </w:rPr>
        <w:t>специализированные интернаты (для детей с психоневрологическими заболеваниями и др.), противотуберкулезные санитарно-оздоровительные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учреждения).</w:t>
      </w:r>
    </w:p>
    <w:p w:rsidR="00F517A7" w:rsidRDefault="00F517A7">
      <w:pPr>
        <w:spacing w:line="276" w:lineRule="auto"/>
        <w:jc w:val="both"/>
        <w:rPr>
          <w:sz w:val="24"/>
        </w:rPr>
        <w:sectPr w:rsidR="00F517A7">
          <w:footerReference w:type="default" r:id="rId10"/>
          <w:pgSz w:w="11910" w:h="16840"/>
          <w:pgMar w:top="1040" w:right="620" w:bottom="1200" w:left="1480" w:header="0" w:footer="1005" w:gutter="0"/>
          <w:pgNumType w:start="20"/>
          <w:cols w:space="720"/>
        </w:sectPr>
      </w:pPr>
    </w:p>
    <w:p w:rsidR="00F517A7" w:rsidRDefault="00FE1F1A">
      <w:pPr>
        <w:pStyle w:val="3"/>
        <w:spacing w:before="71"/>
        <w:ind w:left="221"/>
        <w:jc w:val="both"/>
      </w:pPr>
      <w:r>
        <w:lastRenderedPageBreak/>
        <w:t>Список литературы</w:t>
      </w:r>
    </w:p>
    <w:p w:rsidR="00F517A7" w:rsidRDefault="00FE1F1A">
      <w:pPr>
        <w:pStyle w:val="a4"/>
        <w:numPr>
          <w:ilvl w:val="0"/>
          <w:numId w:val="1"/>
        </w:numPr>
        <w:tabs>
          <w:tab w:val="left" w:pos="930"/>
        </w:tabs>
        <w:spacing w:before="180" w:line="276" w:lineRule="auto"/>
        <w:ind w:right="227" w:firstLine="0"/>
        <w:jc w:val="both"/>
        <w:rPr>
          <w:sz w:val="24"/>
        </w:rPr>
      </w:pPr>
      <w:r>
        <w:rPr>
          <w:sz w:val="24"/>
        </w:rPr>
        <w:t xml:space="preserve">Позиция ВОЗ в отношении вакцинации против гемофильной инфекции типа b. Июль 2013. </w:t>
      </w:r>
      <w:r>
        <w:rPr>
          <w:i/>
          <w:sz w:val="24"/>
        </w:rPr>
        <w:t xml:space="preserve">Еженедельный Эпидемиологический Бюллетень, </w:t>
      </w:r>
      <w:r>
        <w:rPr>
          <w:sz w:val="24"/>
        </w:rPr>
        <w:t>№39, Том 88, С. 413 – 428.</w:t>
      </w:r>
      <w:r>
        <w:rPr>
          <w:color w:val="0000FF"/>
          <w:sz w:val="24"/>
          <w:u w:val="single" w:color="0000FF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http://www.who.int/immunization/Hib_</w:t>
        </w:r>
        <w:r>
          <w:rPr>
            <w:color w:val="0000FF"/>
            <w:sz w:val="24"/>
            <w:u w:val="single" w:color="0000FF"/>
          </w:rPr>
          <w:t>Rus.pdf?ua=1</w:t>
        </w:r>
        <w:r>
          <w:rPr>
            <w:sz w:val="24"/>
          </w:rPr>
          <w:t>.</w:t>
        </w:r>
      </w:hyperlink>
    </w:p>
    <w:p w:rsidR="00F517A7" w:rsidRDefault="00FE1F1A">
      <w:pPr>
        <w:pStyle w:val="a4"/>
        <w:numPr>
          <w:ilvl w:val="0"/>
          <w:numId w:val="1"/>
        </w:numPr>
        <w:tabs>
          <w:tab w:val="left" w:pos="930"/>
        </w:tabs>
        <w:spacing w:before="1" w:line="276" w:lineRule="auto"/>
        <w:ind w:right="232" w:firstLine="0"/>
        <w:jc w:val="both"/>
        <w:rPr>
          <w:sz w:val="24"/>
        </w:rPr>
      </w:pPr>
      <w:r>
        <w:rPr>
          <w:sz w:val="24"/>
        </w:rPr>
        <w:t>Bisgard KM KA, Leake J, Strebel PM, Perkins BA and Wharton M. Haemophilus influenzae</w:t>
      </w:r>
      <w:r>
        <w:rPr>
          <w:spacing w:val="11"/>
          <w:sz w:val="24"/>
        </w:rPr>
        <w:t xml:space="preserve"> </w:t>
      </w:r>
      <w:r>
        <w:rPr>
          <w:sz w:val="24"/>
        </w:rPr>
        <w:t>Invasive</w:t>
      </w:r>
      <w:r>
        <w:rPr>
          <w:spacing w:val="9"/>
          <w:sz w:val="24"/>
        </w:rPr>
        <w:t xml:space="preserve"> </w:t>
      </w:r>
      <w:r>
        <w:rPr>
          <w:sz w:val="24"/>
        </w:rPr>
        <w:t>Disease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United</w:t>
      </w:r>
      <w:r>
        <w:rPr>
          <w:spacing w:val="9"/>
          <w:sz w:val="24"/>
        </w:rPr>
        <w:t xml:space="preserve"> </w:t>
      </w:r>
      <w:r>
        <w:rPr>
          <w:sz w:val="24"/>
        </w:rPr>
        <w:t>State,</w:t>
      </w:r>
      <w:r>
        <w:rPr>
          <w:spacing w:val="9"/>
          <w:sz w:val="24"/>
        </w:rPr>
        <w:t xml:space="preserve"> </w:t>
      </w:r>
      <w:r>
        <w:rPr>
          <w:sz w:val="24"/>
        </w:rPr>
        <w:t>1994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1995:</w:t>
      </w:r>
      <w:r>
        <w:rPr>
          <w:spacing w:val="10"/>
          <w:sz w:val="24"/>
        </w:rPr>
        <w:t xml:space="preserve"> </w:t>
      </w:r>
      <w:r>
        <w:rPr>
          <w:sz w:val="24"/>
        </w:rPr>
        <w:t>Near</w:t>
      </w:r>
      <w:r>
        <w:rPr>
          <w:spacing w:val="10"/>
          <w:sz w:val="24"/>
        </w:rPr>
        <w:t xml:space="preserve"> </w:t>
      </w:r>
      <w:r>
        <w:rPr>
          <w:sz w:val="24"/>
        </w:rPr>
        <w:t>Disappearance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Vaccine</w:t>
      </w:r>
    </w:p>
    <w:p w:rsidR="00F517A7" w:rsidRDefault="00FE1F1A">
      <w:pPr>
        <w:pStyle w:val="a3"/>
        <w:spacing w:line="275" w:lineRule="exact"/>
      </w:pPr>
      <w:r>
        <w:t xml:space="preserve">– Preventable Childhood Disease. // </w:t>
      </w:r>
      <w:r>
        <w:rPr>
          <w:i/>
        </w:rPr>
        <w:t>Emerg Inf Dis</w:t>
      </w:r>
      <w:r>
        <w:t>. 1998; 4(2): 229 – 237.</w:t>
      </w:r>
    </w:p>
    <w:p w:rsidR="00F517A7" w:rsidRDefault="00FE1F1A">
      <w:pPr>
        <w:pStyle w:val="a4"/>
        <w:numPr>
          <w:ilvl w:val="0"/>
          <w:numId w:val="1"/>
        </w:numPr>
        <w:tabs>
          <w:tab w:val="left" w:pos="930"/>
        </w:tabs>
        <w:spacing w:before="43" w:line="276" w:lineRule="auto"/>
        <w:ind w:right="239" w:firstLine="0"/>
        <w:jc w:val="both"/>
        <w:rPr>
          <w:sz w:val="24"/>
        </w:rPr>
      </w:pPr>
      <w:r>
        <w:rPr>
          <w:sz w:val="24"/>
        </w:rPr>
        <w:t xml:space="preserve">Brewster D. The epidemiology of Haemophilus influenzae type b invasive disease in Scotland prior to immunisation. // </w:t>
      </w:r>
      <w:r>
        <w:rPr>
          <w:i/>
          <w:sz w:val="24"/>
        </w:rPr>
        <w:t>Health Bull</w:t>
      </w:r>
      <w:r>
        <w:rPr>
          <w:sz w:val="24"/>
        </w:rPr>
        <w:t>. 1993; vol. 51, no. 6, pp.385 –</w:t>
      </w:r>
      <w:r>
        <w:rPr>
          <w:spacing w:val="-4"/>
          <w:sz w:val="24"/>
        </w:rPr>
        <w:t xml:space="preserve"> </w:t>
      </w:r>
      <w:r>
        <w:rPr>
          <w:sz w:val="24"/>
        </w:rPr>
        <w:t>393.</w:t>
      </w:r>
    </w:p>
    <w:p w:rsidR="00F517A7" w:rsidRDefault="00FE1F1A">
      <w:pPr>
        <w:pStyle w:val="a4"/>
        <w:numPr>
          <w:ilvl w:val="0"/>
          <w:numId w:val="1"/>
        </w:numPr>
        <w:tabs>
          <w:tab w:val="left" w:pos="930"/>
        </w:tabs>
        <w:spacing w:line="276" w:lineRule="auto"/>
        <w:ind w:right="225" w:firstLine="0"/>
        <w:jc w:val="both"/>
      </w:pPr>
      <w:r>
        <w:rPr>
          <w:sz w:val="24"/>
        </w:rPr>
        <w:t>Harris A., Hendrie D., Bower C., Payne J., de Klerk N., Stanley F. The burden of Haemophil</w:t>
      </w:r>
      <w:r>
        <w:rPr>
          <w:sz w:val="24"/>
        </w:rPr>
        <w:t xml:space="preserve">us influenzae type b disease in Australia and economic appraisal of the vaccine PRP – OMP. // </w:t>
      </w:r>
      <w:r>
        <w:rPr>
          <w:i/>
          <w:sz w:val="24"/>
        </w:rPr>
        <w:t>Med J Austr</w:t>
      </w:r>
      <w:r>
        <w:rPr>
          <w:sz w:val="24"/>
        </w:rPr>
        <w:t>. 1994; vol.160, no.8, pp.483 –</w:t>
      </w:r>
      <w:r>
        <w:rPr>
          <w:spacing w:val="-1"/>
          <w:sz w:val="24"/>
        </w:rPr>
        <w:t xml:space="preserve"> </w:t>
      </w:r>
      <w:r>
        <w:rPr>
          <w:sz w:val="24"/>
        </w:rPr>
        <w:t>488.</w:t>
      </w:r>
    </w:p>
    <w:p w:rsidR="00F517A7" w:rsidRDefault="00FE1F1A">
      <w:pPr>
        <w:pStyle w:val="a4"/>
        <w:numPr>
          <w:ilvl w:val="0"/>
          <w:numId w:val="1"/>
        </w:numPr>
        <w:tabs>
          <w:tab w:val="left" w:pos="930"/>
        </w:tabs>
        <w:spacing w:line="276" w:lineRule="auto"/>
        <w:ind w:right="230" w:firstLine="0"/>
        <w:jc w:val="both"/>
        <w:rPr>
          <w:sz w:val="24"/>
        </w:rPr>
      </w:pPr>
      <w:r>
        <w:rPr>
          <w:sz w:val="24"/>
        </w:rPr>
        <w:t>Clements D.A., Gilbert G.L. Immunization for the prevention of Haemophilus influenzae type b infections: a review.</w:t>
      </w:r>
      <w:r>
        <w:rPr>
          <w:sz w:val="24"/>
        </w:rPr>
        <w:t xml:space="preserve"> // </w:t>
      </w:r>
      <w:r>
        <w:rPr>
          <w:i/>
          <w:sz w:val="24"/>
        </w:rPr>
        <w:t>Aust NZ J Med</w:t>
      </w:r>
      <w:r>
        <w:rPr>
          <w:sz w:val="24"/>
        </w:rPr>
        <w:t>. 1990; 20, pp.828 –</w:t>
      </w:r>
      <w:r>
        <w:rPr>
          <w:spacing w:val="-3"/>
          <w:sz w:val="24"/>
        </w:rPr>
        <w:t xml:space="preserve"> </w:t>
      </w:r>
      <w:r>
        <w:rPr>
          <w:sz w:val="24"/>
        </w:rPr>
        <w:t>834.</w:t>
      </w:r>
    </w:p>
    <w:p w:rsidR="00F517A7" w:rsidRDefault="00FE1F1A">
      <w:pPr>
        <w:pStyle w:val="a4"/>
        <w:numPr>
          <w:ilvl w:val="0"/>
          <w:numId w:val="1"/>
        </w:numPr>
        <w:tabs>
          <w:tab w:val="left" w:pos="930"/>
        </w:tabs>
        <w:spacing w:line="276" w:lineRule="auto"/>
        <w:ind w:right="227" w:firstLine="0"/>
        <w:jc w:val="both"/>
        <w:rPr>
          <w:sz w:val="24"/>
        </w:rPr>
      </w:pPr>
      <w:r>
        <w:rPr>
          <w:sz w:val="24"/>
        </w:rPr>
        <w:t xml:space="preserve">Сивая О.В., Козлов Р.С., Кречикова О.И., Иванчик Н.В., Катосова Л.К., Гудкова Л.В. Антибиотикорезистентность Haemophilus influenzae в России: результаты многоцентрового проспективного исследования ПеГАС. </w:t>
      </w:r>
      <w:r>
        <w:rPr>
          <w:i/>
          <w:sz w:val="24"/>
        </w:rPr>
        <w:t xml:space="preserve">Клиническая микробиология и антимикробная химиотерапия. </w:t>
      </w:r>
      <w:r>
        <w:rPr>
          <w:sz w:val="24"/>
        </w:rPr>
        <w:t>2014; № 1.-</w:t>
      </w:r>
      <w:r>
        <w:rPr>
          <w:spacing w:val="-3"/>
          <w:sz w:val="24"/>
        </w:rPr>
        <w:t xml:space="preserve"> </w:t>
      </w:r>
      <w:r>
        <w:rPr>
          <w:sz w:val="24"/>
        </w:rPr>
        <w:t>С.57-69.</w:t>
      </w:r>
    </w:p>
    <w:p w:rsidR="00F517A7" w:rsidRDefault="00FE1F1A">
      <w:pPr>
        <w:pStyle w:val="a4"/>
        <w:numPr>
          <w:ilvl w:val="0"/>
          <w:numId w:val="1"/>
        </w:numPr>
        <w:tabs>
          <w:tab w:val="left" w:pos="930"/>
        </w:tabs>
        <w:spacing w:line="278" w:lineRule="auto"/>
        <w:ind w:right="236" w:firstLine="0"/>
        <w:jc w:val="both"/>
        <w:rPr>
          <w:sz w:val="24"/>
        </w:rPr>
      </w:pPr>
      <w:r>
        <w:rPr>
          <w:sz w:val="24"/>
        </w:rPr>
        <w:t>Практическое руководство по антиинфекционной химиотерапии / Под ред. Л.С. Страчунского, Ю.Б. Белоусова, С.Н. Козлова. Смоленск, 2007; С.</w:t>
      </w:r>
      <w:r>
        <w:rPr>
          <w:spacing w:val="-1"/>
          <w:sz w:val="24"/>
        </w:rPr>
        <w:t xml:space="preserve"> </w:t>
      </w:r>
      <w:r>
        <w:rPr>
          <w:sz w:val="24"/>
        </w:rPr>
        <w:t>464.</w:t>
      </w:r>
    </w:p>
    <w:p w:rsidR="00F517A7" w:rsidRDefault="00FE1F1A">
      <w:pPr>
        <w:pStyle w:val="a4"/>
        <w:numPr>
          <w:ilvl w:val="0"/>
          <w:numId w:val="1"/>
        </w:numPr>
        <w:tabs>
          <w:tab w:val="left" w:pos="930"/>
        </w:tabs>
        <w:spacing w:line="276" w:lineRule="auto"/>
        <w:ind w:right="225" w:firstLine="0"/>
        <w:jc w:val="both"/>
        <w:rPr>
          <w:sz w:val="24"/>
        </w:rPr>
      </w:pPr>
      <w:r>
        <w:rPr>
          <w:sz w:val="24"/>
        </w:rPr>
        <w:t>Федеральная служба по надзору в сфере</w:t>
      </w:r>
      <w:r>
        <w:rPr>
          <w:sz w:val="24"/>
        </w:rPr>
        <w:t xml:space="preserve"> защиты прав потребителей и благополучия человека. Эпидемиология и вакцинопрофилактика гемофильной инфекции типа b. Методические рекомендации под ред. Лобзина Ю.В. – М, 2009 – 45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:rsidR="00F517A7" w:rsidRDefault="00FE1F1A">
      <w:pPr>
        <w:pStyle w:val="a4"/>
        <w:numPr>
          <w:ilvl w:val="0"/>
          <w:numId w:val="1"/>
        </w:numPr>
        <w:tabs>
          <w:tab w:val="left" w:pos="930"/>
        </w:tabs>
        <w:spacing w:line="276" w:lineRule="auto"/>
        <w:ind w:right="226" w:firstLine="0"/>
        <w:jc w:val="both"/>
        <w:rPr>
          <w:sz w:val="24"/>
        </w:rPr>
      </w:pPr>
      <w:r>
        <w:rPr>
          <w:sz w:val="24"/>
        </w:rPr>
        <w:t>Bennett J.V, Platonov A.E., Slack M.P.E., et al. Haemophilus influenzae type b (Hib) meningitis in the pre-vaccine era: a global review of incidence, age distribution, and case-fatality rates. Document WHO/V&amp;B/02.18. Geneva, World Health Organization, 2002</w:t>
      </w:r>
      <w:r>
        <w:rPr>
          <w:sz w:val="24"/>
        </w:rPr>
        <w:t xml:space="preserve">. P.1-92. Документ доступен в Интернете по адресу: </w:t>
      </w:r>
      <w:hyperlink r:id="rId12">
        <w:r>
          <w:rPr>
            <w:sz w:val="24"/>
          </w:rPr>
          <w:t>www.who.int/vaccines-</w:t>
        </w:r>
      </w:hyperlink>
      <w:r>
        <w:rPr>
          <w:sz w:val="24"/>
        </w:rPr>
        <w:t xml:space="preserve"> documents/DocsPDF02/www696.pdf.</w:t>
      </w:r>
    </w:p>
    <w:p w:rsidR="00F517A7" w:rsidRDefault="00FE1F1A">
      <w:pPr>
        <w:pStyle w:val="a4"/>
        <w:numPr>
          <w:ilvl w:val="0"/>
          <w:numId w:val="1"/>
        </w:numPr>
        <w:tabs>
          <w:tab w:val="left" w:pos="930"/>
        </w:tabs>
        <w:spacing w:line="276" w:lineRule="auto"/>
        <w:ind w:right="232" w:firstLine="0"/>
        <w:jc w:val="both"/>
        <w:rPr>
          <w:sz w:val="24"/>
        </w:rPr>
      </w:pPr>
      <w:r>
        <w:rPr>
          <w:sz w:val="24"/>
        </w:rPr>
        <w:t xml:space="preserve">Платонов А.Е., Николаев М.К., Королева И.С., и др. Проспективное популяционное изучение заболеваемости </w:t>
      </w:r>
      <w:r>
        <w:rPr>
          <w:sz w:val="24"/>
        </w:rPr>
        <w:t xml:space="preserve">гнойными менингитами у детей в возрасте до 5 лет в 8 городах России. </w:t>
      </w:r>
      <w:r>
        <w:rPr>
          <w:i/>
          <w:sz w:val="24"/>
        </w:rPr>
        <w:t>Эпидемиология и инфекционные болезни</w:t>
      </w:r>
      <w:r>
        <w:rPr>
          <w:sz w:val="24"/>
        </w:rPr>
        <w:t>. 2009; № 4:</w:t>
      </w:r>
      <w:r>
        <w:rPr>
          <w:spacing w:val="-6"/>
          <w:sz w:val="24"/>
        </w:rPr>
        <w:t xml:space="preserve"> </w:t>
      </w:r>
      <w:r>
        <w:rPr>
          <w:sz w:val="24"/>
        </w:rPr>
        <w:t>133-143.</w:t>
      </w:r>
    </w:p>
    <w:p w:rsidR="00F517A7" w:rsidRDefault="00FE1F1A">
      <w:pPr>
        <w:pStyle w:val="a4"/>
        <w:numPr>
          <w:ilvl w:val="0"/>
          <w:numId w:val="1"/>
        </w:numPr>
        <w:tabs>
          <w:tab w:val="left" w:pos="930"/>
        </w:tabs>
        <w:spacing w:line="276" w:lineRule="auto"/>
        <w:ind w:right="228" w:firstLine="0"/>
        <w:jc w:val="both"/>
        <w:rPr>
          <w:sz w:val="24"/>
        </w:rPr>
      </w:pPr>
      <w:r>
        <w:rPr>
          <w:sz w:val="24"/>
        </w:rPr>
        <w:t xml:space="preserve">Николаев М.К., Платонов А.Е., Инфекция, вызываемая </w:t>
      </w:r>
      <w:r>
        <w:rPr>
          <w:i/>
          <w:sz w:val="24"/>
        </w:rPr>
        <w:t xml:space="preserve">Haemophilus influenzae </w:t>
      </w:r>
      <w:r>
        <w:rPr>
          <w:sz w:val="24"/>
        </w:rPr>
        <w:t>серотипа b, и перспективы её вакцинопрофилактики в Росс</w:t>
      </w:r>
      <w:r>
        <w:rPr>
          <w:sz w:val="24"/>
        </w:rPr>
        <w:t xml:space="preserve">ии. </w:t>
      </w:r>
      <w:r>
        <w:rPr>
          <w:i/>
          <w:sz w:val="24"/>
        </w:rPr>
        <w:t>Эпидемиология и инфекционные болезни</w:t>
      </w:r>
      <w:r>
        <w:rPr>
          <w:sz w:val="24"/>
        </w:rPr>
        <w:t>. 2009; № 4:</w:t>
      </w:r>
      <w:r>
        <w:rPr>
          <w:spacing w:val="-6"/>
          <w:sz w:val="24"/>
        </w:rPr>
        <w:t xml:space="preserve"> </w:t>
      </w:r>
      <w:r>
        <w:rPr>
          <w:sz w:val="24"/>
        </w:rPr>
        <w:t>125-133.</w:t>
      </w:r>
    </w:p>
    <w:p w:rsidR="00F517A7" w:rsidRDefault="00FE1F1A">
      <w:pPr>
        <w:pStyle w:val="a4"/>
        <w:numPr>
          <w:ilvl w:val="0"/>
          <w:numId w:val="1"/>
        </w:numPr>
        <w:tabs>
          <w:tab w:val="left" w:pos="930"/>
        </w:tabs>
        <w:spacing w:line="271" w:lineRule="auto"/>
        <w:ind w:right="228" w:firstLine="0"/>
        <w:jc w:val="both"/>
        <w:rPr>
          <w:sz w:val="24"/>
        </w:rPr>
      </w:pPr>
      <w:r>
        <w:rPr>
          <w:sz w:val="24"/>
        </w:rPr>
        <w:t>Платонов А.Е., Королева И.С., Платонова О.В., Покровский В.И. и Московская группа по исследованию гемофильных менингитов. Заболеваемость гнойными бактериальными менингитами у детей в возрасте до</w:t>
      </w:r>
      <w:r>
        <w:rPr>
          <w:sz w:val="24"/>
        </w:rPr>
        <w:t xml:space="preserve"> 5 лет в Москве. </w:t>
      </w:r>
      <w:r>
        <w:rPr>
          <w:i/>
          <w:sz w:val="24"/>
        </w:rPr>
        <w:t xml:space="preserve">Эпидемиология и инфекционные болезни. </w:t>
      </w:r>
      <w:r>
        <w:rPr>
          <w:sz w:val="24"/>
        </w:rPr>
        <w:t>2006; № 4:</w:t>
      </w:r>
      <w:r>
        <w:rPr>
          <w:spacing w:val="-4"/>
          <w:sz w:val="24"/>
        </w:rPr>
        <w:t xml:space="preserve"> </w:t>
      </w:r>
      <w:r>
        <w:rPr>
          <w:sz w:val="24"/>
        </w:rPr>
        <w:t>36-43.</w:t>
      </w:r>
    </w:p>
    <w:p w:rsidR="00F517A7" w:rsidRDefault="00FE1F1A">
      <w:pPr>
        <w:pStyle w:val="a4"/>
        <w:numPr>
          <w:ilvl w:val="0"/>
          <w:numId w:val="1"/>
        </w:numPr>
        <w:tabs>
          <w:tab w:val="left" w:pos="930"/>
        </w:tabs>
        <w:spacing w:line="276" w:lineRule="auto"/>
        <w:ind w:right="229" w:firstLine="0"/>
        <w:jc w:val="both"/>
        <w:rPr>
          <w:sz w:val="24"/>
        </w:rPr>
      </w:pPr>
      <w:r>
        <w:rPr>
          <w:sz w:val="24"/>
        </w:rPr>
        <w:t xml:space="preserve">Платонов А.Е., Николаев М.К. Заболеваемость гнойными менингитами у детей в возрасте до 5 лет в регионах России. </w:t>
      </w:r>
      <w:r>
        <w:rPr>
          <w:i/>
          <w:sz w:val="24"/>
        </w:rPr>
        <w:t>Эпидемиология и инфекционные болезни</w:t>
      </w:r>
      <w:r>
        <w:rPr>
          <w:sz w:val="24"/>
        </w:rPr>
        <w:t>. 2007; № 3: С. 10-18.</w:t>
      </w:r>
    </w:p>
    <w:p w:rsidR="00F517A7" w:rsidRDefault="00FE1F1A">
      <w:pPr>
        <w:pStyle w:val="a4"/>
        <w:numPr>
          <w:ilvl w:val="0"/>
          <w:numId w:val="1"/>
        </w:numPr>
        <w:tabs>
          <w:tab w:val="left" w:pos="930"/>
        </w:tabs>
        <w:spacing w:line="276" w:lineRule="auto"/>
        <w:ind w:right="225" w:firstLine="0"/>
        <w:jc w:val="both"/>
        <w:rPr>
          <w:sz w:val="24"/>
        </w:rPr>
      </w:pPr>
      <w:r>
        <w:rPr>
          <w:sz w:val="24"/>
        </w:rPr>
        <w:t>Chandran A.,</w:t>
      </w:r>
      <w:r>
        <w:rPr>
          <w:sz w:val="24"/>
        </w:rPr>
        <w:t xml:space="preserve"> Watt J.P., Santosham M. Haemophilus influenzae vaccines. In: Plotkin SA, Orenstein WA, eds.Vaccines. 5th ed. Philadelphia, PA: WB Saunders Co.; 2008:</w:t>
      </w:r>
      <w:r>
        <w:rPr>
          <w:spacing w:val="-10"/>
          <w:sz w:val="24"/>
        </w:rPr>
        <w:t xml:space="preserve"> </w:t>
      </w:r>
      <w:r>
        <w:rPr>
          <w:sz w:val="24"/>
        </w:rPr>
        <w:t>157-176.</w:t>
      </w:r>
    </w:p>
    <w:p w:rsidR="00F517A7" w:rsidRDefault="00F517A7">
      <w:pPr>
        <w:spacing w:line="276" w:lineRule="auto"/>
        <w:jc w:val="both"/>
        <w:rPr>
          <w:sz w:val="24"/>
        </w:rPr>
        <w:sectPr w:rsidR="00F517A7">
          <w:pgSz w:w="11910" w:h="16840"/>
          <w:pgMar w:top="1040" w:right="620" w:bottom="1200" w:left="1480" w:header="0" w:footer="1005" w:gutter="0"/>
          <w:cols w:space="720"/>
        </w:sectPr>
      </w:pPr>
    </w:p>
    <w:p w:rsidR="00F517A7" w:rsidRDefault="00FE1F1A">
      <w:pPr>
        <w:pStyle w:val="a4"/>
        <w:numPr>
          <w:ilvl w:val="0"/>
          <w:numId w:val="1"/>
        </w:numPr>
        <w:tabs>
          <w:tab w:val="left" w:pos="930"/>
        </w:tabs>
        <w:spacing w:before="68" w:line="276" w:lineRule="auto"/>
        <w:ind w:right="226" w:firstLine="0"/>
        <w:jc w:val="both"/>
        <w:rPr>
          <w:sz w:val="24"/>
        </w:rPr>
      </w:pPr>
      <w:r>
        <w:rPr>
          <w:sz w:val="24"/>
        </w:rPr>
        <w:lastRenderedPageBreak/>
        <w:t xml:space="preserve">Вакцинация против гемофильной инфекции типа b с функциональными нарушениями и </w:t>
      </w:r>
      <w:r>
        <w:rPr>
          <w:sz w:val="24"/>
        </w:rPr>
        <w:t>хроническими болезнями. Методические рекомендации под ред. Намазовой-Барановой Л.С. - М., 2011 – 35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sectPr w:rsidR="00F517A7">
      <w:pgSz w:w="11910" w:h="16840"/>
      <w:pgMar w:top="1040" w:right="620" w:bottom="1200" w:left="148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1F1A">
      <w:r>
        <w:separator/>
      </w:r>
    </w:p>
  </w:endnote>
  <w:endnote w:type="continuationSeparator" w:id="0">
    <w:p w:rsidR="00000000" w:rsidRDefault="00FE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A7" w:rsidRDefault="00FE1F1A">
    <w:pPr>
      <w:pStyle w:val="a3"/>
      <w:spacing w:line="14" w:lineRule="auto"/>
      <w:ind w:left="0"/>
      <w:jc w:val="left"/>
      <w:rPr>
        <w:sz w:val="1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3024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9914890</wp:posOffset>
              </wp:positionV>
              <wp:extent cx="121920" cy="165735"/>
              <wp:effectExtent l="635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7A7" w:rsidRDefault="00FE1F1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5.3pt;margin-top:780.7pt;width:9.6pt;height:13.05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z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LwowB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" filled="f" stroked="f">
              <v:textbox inset="0,0,0,0">
                <w:txbxContent>
                  <w:p w:rsidR="00F517A7" w:rsidRDefault="00FE1F1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A7" w:rsidRDefault="00FE1F1A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3048" behindDoc="1" locked="0" layoutInCell="1" allowOverlap="1">
              <wp:simplePos x="0" y="0"/>
              <wp:positionH relativeFrom="page">
                <wp:posOffset>6854190</wp:posOffset>
              </wp:positionH>
              <wp:positionV relativeFrom="page">
                <wp:posOffset>9914890</wp:posOffset>
              </wp:positionV>
              <wp:extent cx="193675" cy="16573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7A7" w:rsidRDefault="00FE1F1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9.7pt;margin-top:780.7pt;width:15.25pt;height:13.05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SU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" filled="f" stroked="f">
              <v:textbox inset="0,0,0,0">
                <w:txbxContent>
                  <w:p w:rsidR="00F517A7" w:rsidRDefault="00FE1F1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A7" w:rsidRDefault="00FE1F1A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3072" behindDoc="1" locked="0" layoutInCell="1" allowOverlap="1">
              <wp:simplePos x="0" y="0"/>
              <wp:positionH relativeFrom="page">
                <wp:posOffset>6854190</wp:posOffset>
              </wp:positionH>
              <wp:positionV relativeFrom="page">
                <wp:posOffset>9914890</wp:posOffset>
              </wp:positionV>
              <wp:extent cx="193675" cy="16573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7A7" w:rsidRDefault="00FE1F1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9.7pt;margin-top:780.7pt;width:15.25pt;height:13.05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bZrg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" filled="f" stroked="f">
              <v:textbox inset="0,0,0,0">
                <w:txbxContent>
                  <w:p w:rsidR="00F517A7" w:rsidRDefault="00FE1F1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1F1A">
      <w:r>
        <w:separator/>
      </w:r>
    </w:p>
  </w:footnote>
  <w:footnote w:type="continuationSeparator" w:id="0">
    <w:p w:rsidR="00000000" w:rsidRDefault="00FE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0BC8"/>
    <w:multiLevelType w:val="hybridMultilevel"/>
    <w:tmpl w:val="63F078EC"/>
    <w:lvl w:ilvl="0" w:tplc="87646B26">
      <w:start w:val="1"/>
      <w:numFmt w:val="decimal"/>
      <w:lvlText w:val="%1."/>
      <w:lvlJc w:val="left"/>
      <w:pPr>
        <w:ind w:left="221" w:hanging="708"/>
        <w:jc w:val="left"/>
      </w:pPr>
      <w:rPr>
        <w:rFonts w:hint="default"/>
        <w:spacing w:val="-29"/>
        <w:w w:val="99"/>
      </w:rPr>
    </w:lvl>
    <w:lvl w:ilvl="1" w:tplc="152CAE92">
      <w:numFmt w:val="bullet"/>
      <w:lvlText w:val="•"/>
      <w:lvlJc w:val="left"/>
      <w:pPr>
        <w:ind w:left="1178" w:hanging="708"/>
      </w:pPr>
      <w:rPr>
        <w:rFonts w:hint="default"/>
      </w:rPr>
    </w:lvl>
    <w:lvl w:ilvl="2" w:tplc="AFFE3586">
      <w:numFmt w:val="bullet"/>
      <w:lvlText w:val="•"/>
      <w:lvlJc w:val="left"/>
      <w:pPr>
        <w:ind w:left="2137" w:hanging="708"/>
      </w:pPr>
      <w:rPr>
        <w:rFonts w:hint="default"/>
      </w:rPr>
    </w:lvl>
    <w:lvl w:ilvl="3" w:tplc="AA2CCE8E">
      <w:numFmt w:val="bullet"/>
      <w:lvlText w:val="•"/>
      <w:lvlJc w:val="left"/>
      <w:pPr>
        <w:ind w:left="3095" w:hanging="708"/>
      </w:pPr>
      <w:rPr>
        <w:rFonts w:hint="default"/>
      </w:rPr>
    </w:lvl>
    <w:lvl w:ilvl="4" w:tplc="D6ECB98E">
      <w:numFmt w:val="bullet"/>
      <w:lvlText w:val="•"/>
      <w:lvlJc w:val="left"/>
      <w:pPr>
        <w:ind w:left="4054" w:hanging="708"/>
      </w:pPr>
      <w:rPr>
        <w:rFonts w:hint="default"/>
      </w:rPr>
    </w:lvl>
    <w:lvl w:ilvl="5" w:tplc="1CF65ED0">
      <w:numFmt w:val="bullet"/>
      <w:lvlText w:val="•"/>
      <w:lvlJc w:val="left"/>
      <w:pPr>
        <w:ind w:left="5013" w:hanging="708"/>
      </w:pPr>
      <w:rPr>
        <w:rFonts w:hint="default"/>
      </w:rPr>
    </w:lvl>
    <w:lvl w:ilvl="6" w:tplc="E33636A8">
      <w:numFmt w:val="bullet"/>
      <w:lvlText w:val="•"/>
      <w:lvlJc w:val="left"/>
      <w:pPr>
        <w:ind w:left="5971" w:hanging="708"/>
      </w:pPr>
      <w:rPr>
        <w:rFonts w:hint="default"/>
      </w:rPr>
    </w:lvl>
    <w:lvl w:ilvl="7" w:tplc="2E2255C2">
      <w:numFmt w:val="bullet"/>
      <w:lvlText w:val="•"/>
      <w:lvlJc w:val="left"/>
      <w:pPr>
        <w:ind w:left="6930" w:hanging="708"/>
      </w:pPr>
      <w:rPr>
        <w:rFonts w:hint="default"/>
      </w:rPr>
    </w:lvl>
    <w:lvl w:ilvl="8" w:tplc="53D689FE">
      <w:numFmt w:val="bullet"/>
      <w:lvlText w:val="•"/>
      <w:lvlJc w:val="left"/>
      <w:pPr>
        <w:ind w:left="7889" w:hanging="708"/>
      </w:pPr>
      <w:rPr>
        <w:rFonts w:hint="default"/>
      </w:rPr>
    </w:lvl>
  </w:abstractNum>
  <w:abstractNum w:abstractNumId="1">
    <w:nsid w:val="39374145"/>
    <w:multiLevelType w:val="hybridMultilevel"/>
    <w:tmpl w:val="54304344"/>
    <w:lvl w:ilvl="0" w:tplc="F0DE2864">
      <w:numFmt w:val="bullet"/>
      <w:lvlText w:val=""/>
      <w:lvlJc w:val="left"/>
      <w:pPr>
        <w:ind w:left="94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8527232">
      <w:start w:val="1"/>
      <w:numFmt w:val="decimal"/>
      <w:lvlText w:val="%2."/>
      <w:lvlJc w:val="left"/>
      <w:pPr>
        <w:ind w:left="221" w:hanging="36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877C30A0">
      <w:numFmt w:val="bullet"/>
      <w:lvlText w:val="•"/>
      <w:lvlJc w:val="left"/>
      <w:pPr>
        <w:ind w:left="1925" w:hanging="365"/>
      </w:pPr>
      <w:rPr>
        <w:rFonts w:hint="default"/>
      </w:rPr>
    </w:lvl>
    <w:lvl w:ilvl="3" w:tplc="E32A4390">
      <w:numFmt w:val="bullet"/>
      <w:lvlText w:val="•"/>
      <w:lvlJc w:val="left"/>
      <w:pPr>
        <w:ind w:left="2910" w:hanging="365"/>
      </w:pPr>
      <w:rPr>
        <w:rFonts w:hint="default"/>
      </w:rPr>
    </w:lvl>
    <w:lvl w:ilvl="4" w:tplc="3BBE6820">
      <w:numFmt w:val="bullet"/>
      <w:lvlText w:val="•"/>
      <w:lvlJc w:val="left"/>
      <w:pPr>
        <w:ind w:left="3895" w:hanging="365"/>
      </w:pPr>
      <w:rPr>
        <w:rFonts w:hint="default"/>
      </w:rPr>
    </w:lvl>
    <w:lvl w:ilvl="5" w:tplc="0A7805DA">
      <w:numFmt w:val="bullet"/>
      <w:lvlText w:val="•"/>
      <w:lvlJc w:val="left"/>
      <w:pPr>
        <w:ind w:left="4880" w:hanging="365"/>
      </w:pPr>
      <w:rPr>
        <w:rFonts w:hint="default"/>
      </w:rPr>
    </w:lvl>
    <w:lvl w:ilvl="6" w:tplc="D1DA126C">
      <w:numFmt w:val="bullet"/>
      <w:lvlText w:val="•"/>
      <w:lvlJc w:val="left"/>
      <w:pPr>
        <w:ind w:left="5865" w:hanging="365"/>
      </w:pPr>
      <w:rPr>
        <w:rFonts w:hint="default"/>
      </w:rPr>
    </w:lvl>
    <w:lvl w:ilvl="7" w:tplc="2B941960">
      <w:numFmt w:val="bullet"/>
      <w:lvlText w:val="•"/>
      <w:lvlJc w:val="left"/>
      <w:pPr>
        <w:ind w:left="6850" w:hanging="365"/>
      </w:pPr>
      <w:rPr>
        <w:rFonts w:hint="default"/>
      </w:rPr>
    </w:lvl>
    <w:lvl w:ilvl="8" w:tplc="C76AAC56">
      <w:numFmt w:val="bullet"/>
      <w:lvlText w:val="•"/>
      <w:lvlJc w:val="left"/>
      <w:pPr>
        <w:ind w:left="7836" w:hanging="365"/>
      </w:pPr>
      <w:rPr>
        <w:rFonts w:hint="default"/>
      </w:rPr>
    </w:lvl>
  </w:abstractNum>
  <w:abstractNum w:abstractNumId="2">
    <w:nsid w:val="6EA63587"/>
    <w:multiLevelType w:val="hybridMultilevel"/>
    <w:tmpl w:val="8108A078"/>
    <w:lvl w:ilvl="0" w:tplc="A7E20BDC">
      <w:numFmt w:val="bullet"/>
      <w:lvlText w:val=""/>
      <w:lvlJc w:val="left"/>
      <w:pPr>
        <w:ind w:left="128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02AC974">
      <w:numFmt w:val="bullet"/>
      <w:lvlText w:val="•"/>
      <w:lvlJc w:val="left"/>
      <w:pPr>
        <w:ind w:left="2132" w:hanging="360"/>
      </w:pPr>
      <w:rPr>
        <w:rFonts w:hint="default"/>
      </w:rPr>
    </w:lvl>
    <w:lvl w:ilvl="2" w:tplc="02D0598A"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770C9A9E">
      <w:numFmt w:val="bullet"/>
      <w:lvlText w:val="•"/>
      <w:lvlJc w:val="left"/>
      <w:pPr>
        <w:ind w:left="3837" w:hanging="360"/>
      </w:pPr>
      <w:rPr>
        <w:rFonts w:hint="default"/>
      </w:rPr>
    </w:lvl>
    <w:lvl w:ilvl="4" w:tplc="4796D8DE">
      <w:numFmt w:val="bullet"/>
      <w:lvlText w:val="•"/>
      <w:lvlJc w:val="left"/>
      <w:pPr>
        <w:ind w:left="4690" w:hanging="360"/>
      </w:pPr>
      <w:rPr>
        <w:rFonts w:hint="default"/>
      </w:rPr>
    </w:lvl>
    <w:lvl w:ilvl="5" w:tplc="43AEEDBA"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91561380"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6AD874F2">
      <w:numFmt w:val="bullet"/>
      <w:lvlText w:val="•"/>
      <w:lvlJc w:val="left"/>
      <w:pPr>
        <w:ind w:left="7248" w:hanging="360"/>
      </w:pPr>
      <w:rPr>
        <w:rFonts w:hint="default"/>
      </w:rPr>
    </w:lvl>
    <w:lvl w:ilvl="8" w:tplc="F320C934">
      <w:numFmt w:val="bullet"/>
      <w:lvlText w:val="•"/>
      <w:lvlJc w:val="left"/>
      <w:pPr>
        <w:ind w:left="8101" w:hanging="360"/>
      </w:pPr>
      <w:rPr>
        <w:rFonts w:hint="default"/>
      </w:rPr>
    </w:lvl>
  </w:abstractNum>
  <w:abstractNum w:abstractNumId="3">
    <w:nsid w:val="7B0A7F3D"/>
    <w:multiLevelType w:val="hybridMultilevel"/>
    <w:tmpl w:val="4ED6F280"/>
    <w:lvl w:ilvl="0" w:tplc="D4D23570">
      <w:numFmt w:val="bullet"/>
      <w:lvlText w:val="-"/>
      <w:lvlJc w:val="left"/>
      <w:pPr>
        <w:ind w:left="106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4BE38DC">
      <w:numFmt w:val="bullet"/>
      <w:lvlText w:val="•"/>
      <w:lvlJc w:val="left"/>
      <w:pPr>
        <w:ind w:left="1934" w:hanging="140"/>
      </w:pPr>
      <w:rPr>
        <w:rFonts w:hint="default"/>
      </w:rPr>
    </w:lvl>
    <w:lvl w:ilvl="2" w:tplc="CB4A8A12">
      <w:numFmt w:val="bullet"/>
      <w:lvlText w:val="•"/>
      <w:lvlJc w:val="left"/>
      <w:pPr>
        <w:ind w:left="2809" w:hanging="140"/>
      </w:pPr>
      <w:rPr>
        <w:rFonts w:hint="default"/>
      </w:rPr>
    </w:lvl>
    <w:lvl w:ilvl="3" w:tplc="68C4A2E2">
      <w:numFmt w:val="bullet"/>
      <w:lvlText w:val="•"/>
      <w:lvlJc w:val="left"/>
      <w:pPr>
        <w:ind w:left="3683" w:hanging="140"/>
      </w:pPr>
      <w:rPr>
        <w:rFonts w:hint="default"/>
      </w:rPr>
    </w:lvl>
    <w:lvl w:ilvl="4" w:tplc="44F85CD2">
      <w:numFmt w:val="bullet"/>
      <w:lvlText w:val="•"/>
      <w:lvlJc w:val="left"/>
      <w:pPr>
        <w:ind w:left="4558" w:hanging="140"/>
      </w:pPr>
      <w:rPr>
        <w:rFonts w:hint="default"/>
      </w:rPr>
    </w:lvl>
    <w:lvl w:ilvl="5" w:tplc="501842B8">
      <w:numFmt w:val="bullet"/>
      <w:lvlText w:val="•"/>
      <w:lvlJc w:val="left"/>
      <w:pPr>
        <w:ind w:left="5433" w:hanging="140"/>
      </w:pPr>
      <w:rPr>
        <w:rFonts w:hint="default"/>
      </w:rPr>
    </w:lvl>
    <w:lvl w:ilvl="6" w:tplc="22BE3B6E">
      <w:numFmt w:val="bullet"/>
      <w:lvlText w:val="•"/>
      <w:lvlJc w:val="left"/>
      <w:pPr>
        <w:ind w:left="6307" w:hanging="140"/>
      </w:pPr>
      <w:rPr>
        <w:rFonts w:hint="default"/>
      </w:rPr>
    </w:lvl>
    <w:lvl w:ilvl="7" w:tplc="43B6F1DE">
      <w:numFmt w:val="bullet"/>
      <w:lvlText w:val="•"/>
      <w:lvlJc w:val="left"/>
      <w:pPr>
        <w:ind w:left="7182" w:hanging="140"/>
      </w:pPr>
      <w:rPr>
        <w:rFonts w:hint="default"/>
      </w:rPr>
    </w:lvl>
    <w:lvl w:ilvl="8" w:tplc="552A9F18">
      <w:numFmt w:val="bullet"/>
      <w:lvlText w:val="•"/>
      <w:lvlJc w:val="left"/>
      <w:pPr>
        <w:ind w:left="8057" w:hanging="1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A7"/>
    <w:rsid w:val="00F517A7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929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92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929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3"/>
      <w:ind w:left="989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221"/>
    </w:pPr>
  </w:style>
  <w:style w:type="paragraph" w:styleId="20">
    <w:name w:val="toc 2"/>
    <w:basedOn w:val="a"/>
    <w:uiPriority w:val="1"/>
    <w:qFormat/>
    <w:pPr>
      <w:spacing w:before="35"/>
      <w:ind w:left="929"/>
    </w:pPr>
    <w:rPr>
      <w:i/>
    </w:rPr>
  </w:style>
  <w:style w:type="paragraph" w:styleId="30">
    <w:name w:val="toc 3"/>
    <w:basedOn w:val="a"/>
    <w:uiPriority w:val="1"/>
    <w:qFormat/>
    <w:pPr>
      <w:spacing w:before="39"/>
      <w:ind w:left="929"/>
    </w:pPr>
    <w:rPr>
      <w:b/>
      <w:bCs/>
      <w:i/>
    </w:rPr>
  </w:style>
  <w:style w:type="paragraph" w:styleId="a3">
    <w:name w:val="Body Text"/>
    <w:basedOn w:val="a"/>
    <w:uiPriority w:val="1"/>
    <w:qFormat/>
    <w:pPr>
      <w:ind w:left="22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929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92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929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3"/>
      <w:ind w:left="989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221"/>
    </w:pPr>
  </w:style>
  <w:style w:type="paragraph" w:styleId="20">
    <w:name w:val="toc 2"/>
    <w:basedOn w:val="a"/>
    <w:uiPriority w:val="1"/>
    <w:qFormat/>
    <w:pPr>
      <w:spacing w:before="35"/>
      <w:ind w:left="929"/>
    </w:pPr>
    <w:rPr>
      <w:i/>
    </w:rPr>
  </w:style>
  <w:style w:type="paragraph" w:styleId="30">
    <w:name w:val="toc 3"/>
    <w:basedOn w:val="a"/>
    <w:uiPriority w:val="1"/>
    <w:qFormat/>
    <w:pPr>
      <w:spacing w:before="39"/>
      <w:ind w:left="929"/>
    </w:pPr>
    <w:rPr>
      <w:b/>
      <w:bCs/>
      <w:i/>
    </w:rPr>
  </w:style>
  <w:style w:type="paragraph" w:styleId="a3">
    <w:name w:val="Body Text"/>
    <w:basedOn w:val="a"/>
    <w:uiPriority w:val="1"/>
    <w:qFormat/>
    <w:pPr>
      <w:ind w:left="22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ho.int/vaccine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ho.int/immunization/Hib_Rus.pdf?ua=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7463</Words>
  <Characters>42542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NUser114</dc:creator>
  <cp:lastModifiedBy>comp001</cp:lastModifiedBy>
  <cp:revision>2</cp:revision>
  <dcterms:created xsi:type="dcterms:W3CDTF">2023-02-15T12:28:00Z</dcterms:created>
  <dcterms:modified xsi:type="dcterms:W3CDTF">2023-02-15T12:28:00Z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2015-10-04T00:00:00Z</vt:filetime>
  </property>
  <property fmtid="{D5CDD505-2E9C-101B-9397-08002B2CF9AE}" pid="3" name="Creator">
    <vt:lpwstr>Nitro Pro 7  (7. 5. 0. 29)</vt:lpwstr>
  </property>
  <property fmtid="{D5CDD505-2E9C-101B-9397-08002B2CF9AE}" pid="4" name="LastSaved">
    <vt:filetime>2023-02-15T00:00:00Z</vt:filetime>
  </property>
</Properties>
</file>